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9"/>
          <w:sz w:val="32"/>
        </w:rPr>
        <w:t>CHUẨN HÓA ACCEPTANCE CRITERIA</w:t>
        <w:br/>
        <w:t>THEO GIVEN – WHEN – THEN</w:t>
      </w:r>
    </w:p>
    <w:p>
      <w:pPr>
        <w:jc w:val="center"/>
      </w:pPr>
      <w:r>
        <w:rPr>
          <w:i/>
          <w:sz w:val="20"/>
        </w:rPr>
        <w:t>Sửa lỗi Acceptance Criteria cho chức năng áp mã khuyến mãi – RikkeiGo</w:t>
      </w:r>
    </w:p>
    <w:p>
      <w:pPr>
        <w:pStyle w:val="Heading1"/>
      </w:pPr>
      <w:r>
        <w:t>1. Phân tích các Acceptance Criteria</w:t>
      </w:r>
    </w:p>
    <w:p>
      <w:r>
        <w:t>Quy tắc rà soát: Given mô tả trạng thái ban đầu; When chỉ có một hành động; Then nêu kết quả cụ thể, có thể kiểm chứng. Mỗi AC mô tả một kịch bản.</w:t>
      </w:r>
    </w:p>
    <w:tbl>
      <w:tblPr>
        <w:tblStyle w:val="TableGrid"/>
        <w:tblW w:type="auto" w:w="0"/>
        <w:jc w:val="center"/>
        <w:tblLayout w:type="fixed"/>
        <w:tblLook w:firstColumn="1" w:firstRow="1" w:lastColumn="0" w:lastRow="0" w:noHBand="0" w:noVBand="1" w:val="04A0"/>
      </w:tblPr>
      <w:tblGrid>
        <w:gridCol w:w="2556"/>
        <w:gridCol w:w="2556"/>
        <w:gridCol w:w="2556"/>
        <w:gridCol w:w="2556"/>
      </w:tblGrid>
      <w:tr>
        <w:tc>
          <w:tcPr>
            <w:tcW w:type="dxa" w:w="648"/>
            <w:vAlign w:val="center"/>
            <w:shd w:fill="D9EAF7"/>
          </w:tcPr>
          <w:p>
            <w:r>
              <w:rPr>
                <w:rFonts w:ascii="Arial" w:hAnsi="Arial"/>
                <w:b/>
                <w:sz w:val="18"/>
              </w:rPr>
              <w:t>AC</w:t>
            </w:r>
          </w:p>
        </w:tc>
        <w:tc>
          <w:tcPr>
            <w:tcW w:type="dxa" w:w="1008"/>
            <w:vAlign w:val="center"/>
            <w:shd w:fill="D9EAF7"/>
          </w:tcPr>
          <w:p>
            <w:r>
              <w:rPr>
                <w:rFonts w:ascii="Arial" w:hAnsi="Arial"/>
                <w:b/>
                <w:sz w:val="18"/>
              </w:rPr>
              <w:t>Đúng/Sai</w:t>
            </w:r>
          </w:p>
        </w:tc>
        <w:tc>
          <w:tcPr>
            <w:tcW w:type="dxa" w:w="4104"/>
            <w:vAlign w:val="center"/>
            <w:shd w:fill="D9EAF7"/>
          </w:tcPr>
          <w:p>
            <w:r>
              <w:rPr>
                <w:rFonts w:ascii="Arial" w:hAnsi="Arial"/>
                <w:b/>
                <w:sz w:val="18"/>
              </w:rPr>
              <w:t>Quy tắc bị vi phạm / Lý do</w:t>
            </w:r>
          </w:p>
        </w:tc>
        <w:tc>
          <w:tcPr>
            <w:tcW w:type="dxa" w:w="3960"/>
            <w:vAlign w:val="center"/>
            <w:shd w:fill="D9EAF7"/>
          </w:tcPr>
          <w:p>
            <w:r>
              <w:rPr>
                <w:rFonts w:ascii="Arial" w:hAnsi="Arial"/>
                <w:b/>
                <w:sz w:val="18"/>
              </w:rPr>
              <w:t>Hậu quả khi kiểm thử</w:t>
            </w:r>
          </w:p>
        </w:tc>
      </w:tr>
      <w:tr>
        <w:tc>
          <w:tcPr>
            <w:tcW w:type="dxa" w:w="648"/>
            <w:vAlign w:val="top"/>
          </w:tcPr>
          <w:p>
            <w:pPr>
              <w:spacing w:after="40"/>
            </w:pPr>
            <w:r>
              <w:rPr>
                <w:rFonts w:ascii="Arial" w:hAnsi="Arial"/>
                <w:sz w:val="17"/>
              </w:rPr>
              <w:t>AC1</w:t>
            </w:r>
          </w:p>
        </w:tc>
        <w:tc>
          <w:tcPr>
            <w:tcW w:type="dxa" w:w="1008"/>
            <w:vAlign w:val="top"/>
            <w:shd w:fill="E2F0D9"/>
          </w:tcPr>
          <w:p>
            <w:pPr>
              <w:spacing w:after="40"/>
            </w:pPr>
            <w:r>
              <w:rPr>
                <w:rFonts w:ascii="Arial" w:hAnsi="Arial"/>
                <w:b/>
                <w:sz w:val="17"/>
              </w:rPr>
              <w:t>ĐÚNG</w:t>
            </w:r>
          </w:p>
        </w:tc>
        <w:tc>
          <w:tcPr>
            <w:tcW w:type="dxa" w:w="4104"/>
            <w:vAlign w:val="top"/>
          </w:tcPr>
          <w:p>
            <w:pPr>
              <w:spacing w:after="40"/>
            </w:pPr>
            <w:r>
              <w:rPr>
                <w:rFonts w:ascii="Arial" w:hAnsi="Arial"/>
                <w:sz w:val="17"/>
              </w:rPr>
              <w:t>Given nêu đúng trạng thái ban đầu; When có một hành động áp mã; Then đưa ra cước cụ thể là 80.000đ.</w:t>
            </w:r>
          </w:p>
        </w:tc>
        <w:tc>
          <w:tcPr>
            <w:tcW w:type="dxa" w:w="3960"/>
            <w:vAlign w:val="top"/>
          </w:tcPr>
          <w:p>
            <w:pPr>
              <w:spacing w:after="40"/>
            </w:pPr>
            <w:r>
              <w:rPr>
                <w:rFonts w:ascii="Arial" w:hAnsi="Arial"/>
                <w:sz w:val="17"/>
              </w:rPr>
              <w:t>Có thể kiểm tra trực tiếp rằng cước sau khi áp mã giảm 20% từ 100.000đ còn 80.000đ.</w:t>
            </w:r>
          </w:p>
        </w:tc>
      </w:tr>
      <w:tr>
        <w:tc>
          <w:tcPr>
            <w:tcW w:type="dxa" w:w="648"/>
            <w:vAlign w:val="top"/>
          </w:tcPr>
          <w:p>
            <w:pPr>
              <w:spacing w:after="40"/>
            </w:pPr>
            <w:r>
              <w:rPr>
                <w:rFonts w:ascii="Arial" w:hAnsi="Arial"/>
                <w:sz w:val="17"/>
              </w:rPr>
              <w:t>AC2</w:t>
            </w:r>
          </w:p>
        </w:tc>
        <w:tc>
          <w:tcPr>
            <w:tcW w:type="dxa" w:w="1008"/>
            <w:vAlign w:val="top"/>
            <w:shd w:fill="FCE4D6"/>
          </w:tcPr>
          <w:p>
            <w:pPr>
              <w:spacing w:after="40"/>
            </w:pPr>
            <w:r>
              <w:rPr>
                <w:rFonts w:ascii="Arial" w:hAnsi="Arial"/>
                <w:b/>
                <w:sz w:val="17"/>
              </w:rPr>
              <w:t>SAI</w:t>
            </w:r>
          </w:p>
        </w:tc>
        <w:tc>
          <w:tcPr>
            <w:tcW w:type="dxa" w:w="4104"/>
            <w:vAlign w:val="top"/>
          </w:tcPr>
          <w:p>
            <w:pPr>
              <w:spacing w:after="40"/>
            </w:pPr>
            <w:r>
              <w:rPr>
                <w:rFonts w:ascii="Arial" w:hAnsi="Arial"/>
                <w:sz w:val="17"/>
              </w:rPr>
              <w:t>When chứa hai hành động: áp mã và bấm “Đặt xe”. Then “xử lý phù hợp” quá mơ hồ, không nêu thông báo hay trạng thái cụ thể.</w:t>
            </w:r>
          </w:p>
        </w:tc>
        <w:tc>
          <w:tcPr>
            <w:tcW w:type="dxa" w:w="3960"/>
            <w:vAlign w:val="top"/>
          </w:tcPr>
          <w:p>
            <w:pPr>
              <w:spacing w:after="40"/>
            </w:pPr>
            <w:r>
              <w:rPr>
                <w:rFonts w:ascii="Arial" w:hAnsi="Arial"/>
                <w:sz w:val="17"/>
              </w:rPr>
              <w:t>Người kiểm thử không biết cần xác nhận thông báo nào, cước ra sao hoặc việc đặt xe có bị chặn hay không; kết quả dễ bị đánh giá khác nhau.</w:t>
            </w:r>
          </w:p>
        </w:tc>
      </w:tr>
      <w:tr>
        <w:tc>
          <w:tcPr>
            <w:tcW w:type="dxa" w:w="648"/>
            <w:vAlign w:val="top"/>
          </w:tcPr>
          <w:p>
            <w:pPr>
              <w:spacing w:after="40"/>
            </w:pPr>
            <w:r>
              <w:rPr>
                <w:rFonts w:ascii="Arial" w:hAnsi="Arial"/>
                <w:sz w:val="17"/>
              </w:rPr>
              <w:t>AC3</w:t>
            </w:r>
          </w:p>
        </w:tc>
        <w:tc>
          <w:tcPr>
            <w:tcW w:type="dxa" w:w="1008"/>
            <w:vAlign w:val="top"/>
            <w:shd w:fill="FCE4D6"/>
          </w:tcPr>
          <w:p>
            <w:pPr>
              <w:spacing w:after="40"/>
            </w:pPr>
            <w:r>
              <w:rPr>
                <w:rFonts w:ascii="Arial" w:hAnsi="Arial"/>
                <w:b/>
                <w:sz w:val="17"/>
              </w:rPr>
              <w:t>SAI</w:t>
            </w:r>
          </w:p>
        </w:tc>
        <w:tc>
          <w:tcPr>
            <w:tcW w:type="dxa" w:w="4104"/>
            <w:vAlign w:val="top"/>
          </w:tcPr>
          <w:p>
            <w:pPr>
              <w:spacing w:after="40"/>
            </w:pPr>
            <w:r>
              <w:rPr>
                <w:rFonts w:ascii="Arial" w:hAnsi="Arial"/>
                <w:sz w:val="17"/>
              </w:rPr>
              <w:t>Given và When bị đảo vai trò: “khách bấm Áp dụng” là hành động, còn “mã không tồn tại” là điều kiện/trạng thái.</w:t>
            </w:r>
          </w:p>
        </w:tc>
        <w:tc>
          <w:tcPr>
            <w:tcW w:type="dxa" w:w="3960"/>
            <w:vAlign w:val="top"/>
          </w:tcPr>
          <w:p>
            <w:pPr>
              <w:spacing w:after="40"/>
            </w:pPr>
            <w:r>
              <w:rPr>
                <w:rFonts w:ascii="Arial" w:hAnsi="Arial"/>
                <w:sz w:val="17"/>
              </w:rPr>
              <w:t>Test case có trình tự sai cấu trúc, khó xác định trạng thái trước hành động và hành động kích hoạt cần kiểm thử.</w:t>
            </w:r>
          </w:p>
        </w:tc>
      </w:tr>
      <w:tr>
        <w:tc>
          <w:tcPr>
            <w:tcW w:type="dxa" w:w="648"/>
            <w:vAlign w:val="top"/>
          </w:tcPr>
          <w:p>
            <w:pPr>
              <w:spacing w:after="40"/>
            </w:pPr>
            <w:r>
              <w:rPr>
                <w:rFonts w:ascii="Arial" w:hAnsi="Arial"/>
                <w:sz w:val="17"/>
              </w:rPr>
              <w:t>AC4</w:t>
            </w:r>
          </w:p>
        </w:tc>
        <w:tc>
          <w:tcPr>
            <w:tcW w:type="dxa" w:w="1008"/>
            <w:vAlign w:val="top"/>
            <w:shd w:fill="E2F0D9"/>
          </w:tcPr>
          <w:p>
            <w:pPr>
              <w:spacing w:after="40"/>
            </w:pPr>
            <w:r>
              <w:rPr>
                <w:rFonts w:ascii="Arial" w:hAnsi="Arial"/>
                <w:b/>
                <w:sz w:val="17"/>
              </w:rPr>
              <w:t>ĐÚNG</w:t>
            </w:r>
          </w:p>
        </w:tc>
        <w:tc>
          <w:tcPr>
            <w:tcW w:type="dxa" w:w="4104"/>
            <w:vAlign w:val="top"/>
          </w:tcPr>
          <w:p>
            <w:pPr>
              <w:spacing w:after="40"/>
            </w:pPr>
            <w:r>
              <w:rPr>
                <w:rFonts w:ascii="Arial" w:hAnsi="Arial"/>
                <w:sz w:val="17"/>
              </w:rPr>
              <w:t>Given mô tả chuyến đã áp GO20; When chỉ có một hành động áp thêm FREEKM; Then nêu rõ cả thông báo và cước giữ nguyên. “Và” nối hai kết quả trong Then nên không vi phạm quy tắc.</w:t>
            </w:r>
          </w:p>
        </w:tc>
        <w:tc>
          <w:tcPr>
            <w:tcW w:type="dxa" w:w="3960"/>
            <w:vAlign w:val="top"/>
          </w:tcPr>
          <w:p>
            <w:pPr>
              <w:spacing w:after="40"/>
            </w:pPr>
            <w:r>
              <w:rPr>
                <w:rFonts w:ascii="Arial" w:hAnsi="Arial"/>
                <w:sz w:val="17"/>
              </w:rPr>
              <w:t>Có thể kiểm tra được cả việc hệ thống từ chối mã thứ hai và việc cước vẫn là 80.000đ.</w:t>
            </w:r>
          </w:p>
        </w:tc>
      </w:tr>
    </w:tbl>
    <w:p>
      <w:pPr>
        <w:pStyle w:val="Heading1"/>
      </w:pPr>
      <w:r>
        <w:t>2. Viết lại các Acceptance Criteria sai</w:t>
      </w:r>
    </w:p>
    <w:p>
      <w:pPr>
        <w:pStyle w:val="Heading2"/>
      </w:pPr>
      <w:r>
        <w:t>AC2 – Mã khuyến mãi đã hết hạn</w:t>
      </w:r>
    </w:p>
    <w:p>
      <w:pPr>
        <w:ind w:left="360"/>
      </w:pPr>
      <w:r>
        <w:rPr>
          <w:b/>
        </w:rPr>
        <w:t xml:space="preserve">Given: </w:t>
      </w:r>
      <w:r>
        <w:t>mã khuyến mãi “GO20” đã hết hạn.</w:t>
      </w:r>
    </w:p>
    <w:p>
      <w:pPr>
        <w:ind w:left="360"/>
      </w:pPr>
      <w:r>
        <w:rPr>
          <w:b/>
        </w:rPr>
        <w:t xml:space="preserve">When: </w:t>
      </w:r>
      <w:r>
        <w:t>khách hàng bấm “Áp dụng” cho mã “GO20”.</w:t>
      </w:r>
    </w:p>
    <w:p>
      <w:pPr>
        <w:ind w:left="360"/>
      </w:pPr>
      <w:r>
        <w:rPr>
          <w:b/>
        </w:rPr>
        <w:t xml:space="preserve">Then: </w:t>
      </w:r>
      <w:r>
        <w:t>hệ thống hiển thị thông báo “Mã khuyến mãi đã hết hạn” và không áp dụng giảm giá.</w:t>
      </w:r>
    </w:p>
    <w:p>
      <w:r>
        <w:t>Lưu ý: AC2 được sửa để chỉ còn một hành động ở When và kết quả được xác định rõ. Thông báo trong Then là đề xuất cụ thể để PO xác nhận theo quy ước thông báo của sản phẩm.</w:t>
      </w:r>
    </w:p>
    <w:p>
      <w:pPr>
        <w:pStyle w:val="Heading2"/>
      </w:pPr>
      <w:r>
        <w:t>AC3 – Mã khuyến mãi không tồn tại</w:t>
      </w:r>
    </w:p>
    <w:p>
      <w:pPr>
        <w:ind w:left="360"/>
      </w:pPr>
      <w:r>
        <w:rPr>
          <w:b/>
        </w:rPr>
        <w:t xml:space="preserve">Given: </w:t>
      </w:r>
      <w:r>
        <w:t>mã khuyến mãi “ABC123” không tồn tại trong hệ thống.</w:t>
      </w:r>
    </w:p>
    <w:p>
      <w:pPr>
        <w:ind w:left="360"/>
      </w:pPr>
      <w:r>
        <w:rPr>
          <w:b/>
        </w:rPr>
        <w:t xml:space="preserve">When: </w:t>
      </w:r>
      <w:r>
        <w:t>khách hàng bấm “Áp dụng”.</w:t>
      </w:r>
    </w:p>
    <w:p>
      <w:pPr>
        <w:ind w:left="360"/>
      </w:pPr>
      <w:r>
        <w:rPr>
          <w:b/>
        </w:rPr>
        <w:t xml:space="preserve">Then: </w:t>
      </w:r>
      <w:r>
        <w:t>hệ thống hiển thị thông báo “Mã khuyến mãi không hợp lệ”.</w:t>
      </w:r>
    </w:p>
    <w:p>
      <w:pPr>
        <w:pStyle w:val="Heading1"/>
      </w:pPr>
      <w:r>
        <w:t>3. Acceptance Criteria giữ nguyên</w:t>
      </w:r>
    </w:p>
    <w:p>
      <w:pPr>
        <w:pStyle w:val="Heading2"/>
      </w:pPr>
      <w:r>
        <w:t>AC1 – Áp mã giảm 20%</w:t>
      </w:r>
    </w:p>
    <w:p>
      <w:r>
        <w:t>Given cước chuyến là 100.000đ và khách chưa áp mã nào,</w:t>
      </w:r>
    </w:p>
    <w:p>
      <w:r>
        <w:t>When khách áp mã “GO20” (giảm 20%),</w:t>
      </w:r>
    </w:p>
    <w:p>
      <w:r>
        <w:t>Then cước hiển thị 80.000đ.</w:t>
      </w:r>
    </w:p>
    <w:p>
      <w:pPr>
        <w:pStyle w:val="Heading2"/>
      </w:pPr>
      <w:r>
        <w:t>AC4 – Không cho áp dụng nhiều mã trên một chuyến</w:t>
      </w:r>
    </w:p>
    <w:p>
      <w:r>
        <w:t>Given chuyến đã áp mã “GO20”,</w:t>
      </w:r>
    </w:p>
    <w:p>
      <w:r>
        <w:t>When khách áp thêm mã “FREEKM”,</w:t>
      </w:r>
    </w:p>
    <w:p>
      <w:r>
        <w:t>Then hệ thống hiển thị “Mỗi chuyến chỉ áp được 01 mã” và cước giữ nguyên 80.000đ.</w:t>
      </w:r>
    </w:p>
    <w:p>
      <w:pPr>
        <w:pStyle w:val="Heading1"/>
      </w:pPr>
      <w:r>
        <w:t>4. Kết luận</w:t>
      </w:r>
    </w:p>
    <w:p>
      <w:r>
        <w:t>AC1 và AC4 được giữ nguyên vì đã có điều kiện ban đầu, một hành động và kết quả kiểm chứng được. AC2 cần làm rõ hành động và kết quả; AC3 cần đưa điều kiện về Given và hành động về When. Sau khi sửa, mỗi AC có thể chuyển thành test case mà không phải tự đoán kết quả mong đợi.</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Bài tập Agile/Scrum – RikkeiGo</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