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SỬA LỖI BUỔI PLANNING POKER CHO CÁC CHỨC NĂNG ĐẶT XE</w:t>
      </w:r>
    </w:p>
    <w:p>
      <w:pPr>
        <w:jc w:val="center"/>
      </w:pPr>
      <w:r>
        <w:rPr>
          <w:i/>
          <w:sz w:val="18"/>
        </w:rPr>
        <w:t>Dự án: RikkeiGo | Reference Story: “Xem lịch sử chuyến đi” = 3 SP</w:t>
      </w:r>
    </w:p>
    <w:p>
      <w:pPr>
        <w:pStyle w:val="Heading1"/>
      </w:pPr>
      <w:r>
        <w:t>Phần 1 – Phân tích biên bản Planning Poker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sz w:val="18"/>
              </w:rPr>
              <w:t>Mã</w:t>
            </w:r>
          </w:p>
        </w:tc>
        <w:tc>
          <w:tcPr>
            <w:tcW w:type="dxa" w:w="2556"/>
            <w:vAlign w:val="center"/>
            <w:shd w:fill="D9EAF7"/>
          </w:tcPr>
          <w:p>
            <w:r>
              <w:rPr>
                <w:b/>
                <w:sz w:val="18"/>
              </w:rPr>
              <w:t>Hợp lý / Chưa hợp lý</w:t>
            </w:r>
          </w:p>
        </w:tc>
        <w:tc>
          <w:tcPr>
            <w:tcW w:type="dxa" w:w="2556"/>
            <w:vAlign w:val="center"/>
            <w:shd w:fill="D9EAF7"/>
          </w:tcPr>
          <w:p>
            <w:r>
              <w:rPr>
                <w:b/>
                <w:sz w:val="18"/>
              </w:rPr>
              <w:t>Quy tắc bị vi phạm / Lý do</w:t>
            </w:r>
          </w:p>
        </w:tc>
        <w:tc>
          <w:tcPr>
            <w:tcW w:type="dxa" w:w="2556"/>
            <w:vAlign w:val="center"/>
            <w:shd w:fill="D9EAF7"/>
          </w:tcPr>
          <w:p>
            <w:r>
              <w:rPr>
                <w:b/>
                <w:sz w:val="18"/>
              </w:rPr>
              <w:t>Hậu quả khi lập kế hoạch Sprint</w:t>
            </w:r>
          </w:p>
        </w:tc>
      </w:tr>
      <w:tr>
        <w:tc>
          <w:tcPr>
            <w:tcW w:type="dxa" w:w="648"/>
            <w:vAlign w:val="top"/>
          </w:tcPr>
          <w:p>
            <w:pPr>
              <w:spacing w:after="40"/>
            </w:pPr>
            <w:r>
              <w:rPr>
                <w:sz w:val="17"/>
              </w:rPr>
              <w:t>P1</w:t>
            </w:r>
          </w:p>
        </w:tc>
        <w:tc>
          <w:tcPr>
            <w:tcW w:type="dxa" w:w="1656"/>
            <w:vAlign w:val="top"/>
          </w:tcPr>
          <w:p>
            <w:pPr>
              <w:spacing w:after="40"/>
            </w:pPr>
            <w:r>
              <w:rPr>
                <w:sz w:val="17"/>
              </w:rPr>
              <w:t>Chưa hợp lý</w:t>
            </w:r>
          </w:p>
        </w:tc>
        <w:tc>
          <w:tcPr>
            <w:tcW w:type="dxa" w:w="4392"/>
            <w:vAlign w:val="top"/>
          </w:tcPr>
          <w:p>
            <w:pPr>
              <w:spacing w:after="40"/>
            </w:pPr>
            <w:r>
              <w:rPr>
                <w:sz w:val="17"/>
              </w:rPr>
              <w:t>Các phiếu 3, 3, 5, 5 bị lấy trung bình thành 4 SP. Trung bình không phải cách chốt Planning Poker; hơn nữa, 4 không nằm trên thang Fibonacci mà đội đã thống nhất (1, 2, 3, 5, 8, 13, 21).</w:t>
            </w:r>
          </w:p>
        </w:tc>
        <w:tc>
          <w:tcPr>
            <w:tcW w:type="dxa" w:w="3528"/>
            <w:vAlign w:val="top"/>
          </w:tcPr>
          <w:p>
            <w:pPr>
              <w:spacing w:after="40"/>
            </w:pPr>
            <w:r>
              <w:rPr>
                <w:sz w:val="17"/>
              </w:rPr>
              <w:t>Kết quả có thể không phản ánh mức ước lượng mà đội thống nhất; làm giảm tính nhất quán khi lập Sprint Backlog và dự báo năng lực.</w:t>
            </w:r>
          </w:p>
        </w:tc>
      </w:tr>
      <w:tr>
        <w:tc>
          <w:tcPr>
            <w:tcW w:type="dxa" w:w="648"/>
            <w:vAlign w:val="top"/>
          </w:tcPr>
          <w:p>
            <w:pPr>
              <w:spacing w:after="40"/>
            </w:pPr>
            <w:r>
              <w:rPr>
                <w:sz w:val="17"/>
              </w:rPr>
              <w:t>P2</w:t>
            </w:r>
          </w:p>
        </w:tc>
        <w:tc>
          <w:tcPr>
            <w:tcW w:type="dxa" w:w="1656"/>
            <w:vAlign w:val="top"/>
          </w:tcPr>
          <w:p>
            <w:pPr>
              <w:spacing w:after="40"/>
            </w:pPr>
            <w:r>
              <w:rPr>
                <w:sz w:val="17"/>
              </w:rPr>
              <w:t>Chưa hợp lý</w:t>
            </w:r>
          </w:p>
        </w:tc>
        <w:tc>
          <w:tcPr>
            <w:tcW w:type="dxa" w:w="4392"/>
            <w:vAlign w:val="top"/>
          </w:tcPr>
          <w:p>
            <w:pPr>
              <w:spacing w:after="40"/>
            </w:pPr>
            <w:r>
              <w:rPr>
                <w:sz w:val="17"/>
              </w:rPr>
              <w:t>Product Owner (Đức) tự chọn 5 SP để kịp kế hoạch, trong khi Developers là người chọn thẻ và đưa ra ước lượng. Chênh lệch 5–13 SP cũng cần được thảo luận để làm rõ giả định, độ phức tạp và rủi ro tích hợp.</w:t>
            </w:r>
          </w:p>
        </w:tc>
        <w:tc>
          <w:tcPr>
            <w:tcW w:type="dxa" w:w="3528"/>
            <w:vAlign w:val="top"/>
          </w:tcPr>
          <w:p>
            <w:pPr>
              <w:spacing w:after="40"/>
            </w:pPr>
            <w:r>
              <w:rPr>
                <w:sz w:val="17"/>
              </w:rPr>
              <w:t>SP có thể bị ép thấp hơn độ lớn thực tế, khiến Sprint nhận quá nhiều việc, tăng nguy cơ trễ hoặc không đạt Definition of Done.</w:t>
            </w:r>
          </w:p>
        </w:tc>
      </w:tr>
      <w:tr>
        <w:tc>
          <w:tcPr>
            <w:tcW w:type="dxa" w:w="648"/>
            <w:vAlign w:val="top"/>
          </w:tcPr>
          <w:p>
            <w:pPr>
              <w:spacing w:after="40"/>
            </w:pPr>
            <w:r>
              <w:rPr>
                <w:sz w:val="17"/>
              </w:rPr>
              <w:t>P3</w:t>
            </w:r>
          </w:p>
        </w:tc>
        <w:tc>
          <w:tcPr>
            <w:tcW w:type="dxa" w:w="1656"/>
            <w:vAlign w:val="top"/>
          </w:tcPr>
          <w:p>
            <w:pPr>
              <w:spacing w:after="40"/>
            </w:pPr>
            <w:r>
              <w:rPr>
                <w:sz w:val="17"/>
              </w:rPr>
              <w:t>Hợp lý</w:t>
            </w:r>
          </w:p>
        </w:tc>
        <w:tc>
          <w:tcPr>
            <w:tcW w:type="dxa" w:w="4392"/>
            <w:vAlign w:val="top"/>
          </w:tcPr>
          <w:p>
            <w:pPr>
              <w:spacing w:after="40"/>
            </w:pPr>
            <w:r>
              <w:rPr>
                <w:sz w:val="17"/>
              </w:rPr>
              <w:t>Người chọn mức thấp (3) và cao (8) đã giải thích, cả nhóm chọn lại đồng thời và thống nhất 5 SP — một giá trị hợp lệ trên thang của đội.</w:t>
            </w:r>
          </w:p>
        </w:tc>
        <w:tc>
          <w:tcPr>
            <w:tcW w:type="dxa" w:w="3528"/>
            <w:vAlign w:val="top"/>
          </w:tcPr>
          <w:p>
            <w:pPr>
              <w:spacing w:after="40"/>
            </w:pPr>
            <w:r>
              <w:rPr>
                <w:sz w:val="17"/>
              </w:rPr>
              <w:t>Không có lỗi quy trình cần sửa; kết quả có cơ sở thảo luận chung và có thể dùng làm đầu vào lập kế hoạch.</w:t>
            </w:r>
          </w:p>
        </w:tc>
      </w:tr>
      <w:tr>
        <w:tc>
          <w:tcPr>
            <w:tcW w:type="dxa" w:w="648"/>
            <w:vAlign w:val="top"/>
          </w:tcPr>
          <w:p>
            <w:pPr>
              <w:spacing w:after="40"/>
            </w:pPr>
            <w:r>
              <w:rPr>
                <w:sz w:val="17"/>
              </w:rPr>
              <w:t>P4</w:t>
            </w:r>
          </w:p>
        </w:tc>
        <w:tc>
          <w:tcPr>
            <w:tcW w:type="dxa" w:w="1656"/>
            <w:vAlign w:val="top"/>
          </w:tcPr>
          <w:p>
            <w:pPr>
              <w:spacing w:after="40"/>
            </w:pPr>
            <w:r>
              <w:rPr>
                <w:sz w:val="17"/>
              </w:rPr>
              <w:t>Chưa hợp lý ở ghi chú</w:t>
            </w:r>
          </w:p>
        </w:tc>
        <w:tc>
          <w:tcPr>
            <w:tcW w:type="dxa" w:w="4392"/>
            <w:vAlign w:val="top"/>
          </w:tcPr>
          <w:p>
            <w:pPr>
              <w:spacing w:after="40"/>
            </w:pPr>
            <w:r>
              <w:rPr>
                <w:sz w:val="17"/>
              </w:rPr>
              <w:t>Quy trình thảo luận giữa mức 8 và 13 rồi chọn lại đồng thuận 13 SP là hợp lý. Tuy nhiên, ghi chú “13 SP = 52 giờ” vi phạm nguyên tắc SP là độ lớn tương đối, không quy đổi cố định sang giờ.</w:t>
            </w:r>
          </w:p>
        </w:tc>
        <w:tc>
          <w:tcPr>
            <w:tcW w:type="dxa" w:w="3528"/>
            <w:vAlign w:val="top"/>
          </w:tcPr>
          <w:p>
            <w:pPr>
              <w:spacing w:after="40"/>
            </w:pPr>
            <w:r>
              <w:rPr>
                <w:sz w:val="17"/>
              </w:rPr>
              <w:t>Nếu coi 13 SP luôn bằng 52 giờ, đội có thể lập kế hoạch dựa trên quy đổi sai, gây kỳ vọng thời gian không thực tế và làm sai lệch các lần ước lượng sau.</w:t>
            </w:r>
          </w:p>
        </w:tc>
      </w:tr>
      <w:tr>
        <w:tc>
          <w:tcPr>
            <w:tcW w:type="dxa" w:w="648"/>
            <w:vAlign w:val="top"/>
          </w:tcPr>
          <w:p>
            <w:pPr>
              <w:spacing w:after="40"/>
            </w:pPr>
            <w:r>
              <w:rPr>
                <w:sz w:val="17"/>
              </w:rPr>
              <w:t>P5</w:t>
            </w:r>
          </w:p>
        </w:tc>
        <w:tc>
          <w:tcPr>
            <w:tcW w:type="dxa" w:w="1656"/>
            <w:vAlign w:val="top"/>
          </w:tcPr>
          <w:p>
            <w:pPr>
              <w:spacing w:after="40"/>
            </w:pPr>
            <w:r>
              <w:rPr>
                <w:sz w:val="17"/>
              </w:rPr>
              <w:t>Chưa hợp lý</w:t>
            </w:r>
          </w:p>
        </w:tc>
        <w:tc>
          <w:tcPr>
            <w:tcW w:type="dxa" w:w="4392"/>
            <w:vAlign w:val="top"/>
          </w:tcPr>
          <w:p>
            <w:pPr>
              <w:spacing w:after="40"/>
            </w:pPr>
            <w:r>
              <w:rPr>
                <w:sz w:val="17"/>
              </w:rPr>
              <w:t>Phạm vi chưa rõ: chưa biết mã giới thiệu có được dùng đồng thời với mã khuyến mãi khác hay không. Không nên chốt 13 SP chỉ vì đa số chọn mức đó; phiếu lệch là tín hiệu cần làm rõ giả định và rủi ro trước khi ước lượng.</w:t>
            </w:r>
          </w:p>
        </w:tc>
        <w:tc>
          <w:tcPr>
            <w:tcW w:type="dxa" w:w="3528"/>
            <w:vAlign w:val="top"/>
          </w:tcPr>
          <w:p>
            <w:pPr>
              <w:spacing w:after="40"/>
            </w:pPr>
            <w:r>
              <w:rPr>
                <w:sz w:val="17"/>
              </w:rPr>
              <w:t>Ước lượng có thể không bao gồm đầy đủ quy tắc nghiệp vụ và trường hợp kết hợp mã, dẫn đến phát sinh công việc, thay đổi Sprint Backlog hoặc không hoàn thành Sprint Goal.</w:t>
            </w:r>
          </w:p>
        </w:tc>
      </w:tr>
    </w:tbl>
    <w:p>
      <w:pPr>
        <w:pStyle w:val="Heading1"/>
      </w:pPr>
      <w:r>
        <w:t>Phần 2 – Cách xử lý tiếp theo</w:t>
      </w:r>
    </w:p>
    <w:p>
      <w:pPr>
        <w:spacing w:after="40"/>
      </w:pPr>
      <w:r>
        <w:rPr>
          <w:b/>
        </w:rPr>
        <w:t>P1 – Đăng nhập bằng số điện thoại</w:t>
      </w:r>
    </w:p>
    <w:p>
      <w:pPr>
        <w:spacing w:after="140"/>
        <w:ind w:left="288"/>
      </w:pPr>
      <w:r>
        <w:t>Scrum Master Lan nhắc đội không lấy trung bình; yêu cầu các Developers thảo luận vì sao có người chọn 3 và người chọn 5 (ví dụ xác thực OTP, xử lý lỗi hoặc tích hợp dịch vụ). Sau khi thống nhất giả định và phạm vi, Developers chọn thẻ kín và lật đồng thời lần nữa, rồi chốt một mức trên thang đã thống nhất.</w:t>
      </w:r>
    </w:p>
    <w:p>
      <w:pPr>
        <w:spacing w:after="40"/>
      </w:pPr>
      <w:r>
        <w:rPr>
          <w:b/>
        </w:rPr>
        <w:t>P2 – Thanh toán bằng ví RikkeiPay</w:t>
      </w:r>
    </w:p>
    <w:p>
      <w:pPr>
        <w:spacing w:after="140"/>
        <w:ind w:left="288"/>
      </w:pPr>
      <w:r>
        <w:t>Lan yêu cầu Đức làm rõ giá trị, phạm vi nghiệp vụ và các tiêu chí chấp nhận; Đức không tự quyết định SP. Developers cần thảo luận chênh lệch 5–13, đặc biệt rủi ro tích hợp ví, xử lý giao dịch thất bại và đối soát, rồi chọn lại theo quy trình Planning Poker.</w:t>
      </w:r>
    </w:p>
    <w:p>
      <w:pPr>
        <w:spacing w:after="40"/>
      </w:pPr>
      <w:r>
        <w:rPr>
          <w:b/>
        </w:rPr>
        <w:t>P4 – Theo dõi vị trí tài xế trên bản đồ</w:t>
      </w:r>
    </w:p>
    <w:p>
      <w:pPr>
        <w:spacing w:after="140"/>
        <w:ind w:left="288"/>
      </w:pPr>
      <w:r>
        <w:t>Giữ kết quả 13 SP nếu Developers đã thảo luận và đồng thuận; sửa hoặc xóa ghi chú “13 SP = 52 giờ”. Đội sử dụng 13 SP như ước lượng tương đối so với Reference Story, không quy đổi cố định sang giờ.</w:t>
      </w:r>
    </w:p>
    <w:p>
      <w:pPr>
        <w:spacing w:after="40"/>
      </w:pPr>
      <w:r>
        <w:rPr>
          <w:b/>
        </w:rPr>
        <w:t>P5 – Áp mã giới thiệu bạn bè</w:t>
      </w:r>
    </w:p>
    <w:p>
      <w:pPr>
        <w:spacing w:after="140"/>
        <w:ind w:left="288"/>
      </w:pPr>
      <w:r>
        <w:t>Tạm hoãn chốt SP và nhờ Product Owner làm rõ quy tắc nghiệp vụ: mã giới thiệu có được kết hợp với mã khuyến mãi khác không, nếu có thì áp dụng thứ tự ưu tiên và giới hạn nào. Khi phạm vi và giả định đã rõ, Developers mới thực hiện Planning Poker lại; không lấy đa số làm lý do duy nhất để chốt.</w:t>
      </w:r>
    </w:p>
    <w:p>
      <w:pPr>
        <w:pStyle w:val="Heading1"/>
      </w:pPr>
      <w:r>
        <w:t>Kết luận</w:t>
      </w:r>
    </w:p>
    <w:p>
      <w:r>
        <w:t>P1, P2 và P5 cần được ước lượng lại hoặc làm rõ trước khi chốt; P4 có kết quả 13 SP hợp lý nhưng phải sửa ghi chú quy đổi sang giờ; P3 giữ nguyên vì đã thực hiện đúng quy trình. Trong Planning Poker, Developers quyết định ước lượng bằng thảo luận và chọn lại; Product Owner làm rõ giá trị/phạm vi; Story Point không phải đơn vị thời gian cố định.</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