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360" w:lineRule="auto"/>
        <w:jc w:val="center"/>
      </w:pPr>
      <w:r>
        <w:rPr>
          <w:rFonts w:ascii="Times New Roman" w:hAnsi="Times New Roman"/>
          <w:b/>
          <w:sz w:val="32"/>
        </w:rPr>
        <w:t>FISH PRICE PREDICTION AND MARKET ANALYSIS</w:t>
      </w:r>
    </w:p>
    <w:p/>
    <w:p/>
    <w:p/>
    <w:p>
      <w:pPr>
        <w:spacing w:line="360" w:lineRule="auto"/>
        <w:jc w:val="center"/>
      </w:pPr>
      <w:r>
        <w:rPr>
          <w:rFonts w:ascii="Times New Roman" w:hAnsi="Times New Roman"/>
          <w:b w:val="0"/>
          <w:sz w:val="24"/>
        </w:rPr>
        <w:t>IT22215574</w:t>
      </w:r>
    </w:p>
    <w:p>
      <w:pPr>
        <w:spacing w:line="360" w:lineRule="auto"/>
        <w:jc w:val="center"/>
      </w:pPr>
      <w:r>
        <w:rPr>
          <w:rFonts w:ascii="Times New Roman" w:hAnsi="Times New Roman"/>
          <w:b w:val="0"/>
          <w:sz w:val="24"/>
        </w:rPr>
        <w:t>Student Name: ..............................</w:t>
      </w:r>
    </w:p>
    <w:p/>
    <w:p/>
    <w:p/>
    <w:p>
      <w:pPr>
        <w:spacing w:line="360" w:lineRule="auto"/>
        <w:jc w:val="center"/>
      </w:pPr>
      <w:r>
        <w:rPr>
          <w:rFonts w:ascii="Times New Roman" w:hAnsi="Times New Roman"/>
          <w:b w:val="0"/>
          <w:sz w:val="24"/>
        </w:rPr>
        <w:t>BSc (Hons) in Information Technology</w:t>
      </w:r>
    </w:p>
    <w:p>
      <w:pPr>
        <w:spacing w:line="360" w:lineRule="auto"/>
        <w:jc w:val="center"/>
      </w:pPr>
      <w:r>
        <w:rPr>
          <w:rFonts w:ascii="Times New Roman" w:hAnsi="Times New Roman"/>
          <w:b w:val="0"/>
          <w:sz w:val="24"/>
        </w:rPr>
        <w:t>Sri Lanka Institute of Information Technology</w:t>
      </w:r>
    </w:p>
    <w:p/>
    <w:p/>
    <w:p/>
    <w:p>
      <w:pPr>
        <w:spacing w:line="360" w:lineRule="auto"/>
        <w:jc w:val="center"/>
      </w:pPr>
      <w:r>
        <w:rPr>
          <w:rFonts w:ascii="Times New Roman" w:hAnsi="Times New Roman"/>
          <w:b w:val="0"/>
          <w:sz w:val="24"/>
        </w:rPr>
        <w:t>April 2026</w:t>
      </w:r>
    </w:p>
    <w:p>
      <w:r>
        <w:br w:type="page"/>
      </w:r>
    </w:p>
    <w:p>
      <w:pPr>
        <w:pStyle w:val="Heading1"/>
        <w:jc w:val="left"/>
      </w:pPr>
      <w:r>
        <w:rPr>
          <w:rFonts w:ascii="Times New Roman" w:hAnsi="Times New Roman"/>
          <w:b/>
          <w:color w:val="000000"/>
          <w:sz w:val="28"/>
        </w:rPr>
        <w:t>DECLARATION</w:t>
      </w:r>
    </w:p>
    <w:p>
      <w:pPr>
        <w:spacing w:line="360" w:lineRule="auto"/>
        <w:jc w:val="both"/>
      </w:pPr>
      <w:r>
        <w:rPr>
          <w:b w:val="0"/>
        </w:rPr>
        <w:t>I declare that this is my own work and this dissertation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p>
      <w:pPr>
        <w:spacing w:line="360" w:lineRule="auto"/>
        <w:jc w:val="both"/>
      </w:pPr>
      <w:r>
        <w:rPr>
          <w:b w:val="0"/>
        </w:rPr>
        <w:br/>
        <w:br/>
        <w:t>Signature of Candidate: .......................................</w:t>
        <w:tab/>
        <w:t>Date: .......................</w:t>
        <w:br/>
        <w:t>Name: IT22215574</w:t>
      </w:r>
    </w:p>
    <w:p>
      <w:pPr>
        <w:spacing w:line="360" w:lineRule="auto"/>
        <w:jc w:val="both"/>
      </w:pPr>
      <w:r>
        <w:rPr>
          <w:b w:val="0"/>
        </w:rPr>
        <w:br/>
        <w:br/>
        <w:t>I have supervised and accepted this thesis for the submission of the degree.</w:t>
      </w:r>
    </w:p>
    <w:p>
      <w:pPr>
        <w:spacing w:line="360" w:lineRule="auto"/>
        <w:jc w:val="both"/>
      </w:pPr>
      <w:r>
        <w:rPr>
          <w:b w:val="0"/>
        </w:rPr>
        <w:br/>
        <w:br/>
        <w:t>Signature of Supervisor: .......................................</w:t>
        <w:tab/>
        <w:t>Date: .......................</w:t>
        <w:br/>
        <w:t>Name of Supervisor: .......................................</w:t>
      </w:r>
    </w:p>
    <w:p>
      <w:r>
        <w:br w:type="page"/>
      </w:r>
    </w:p>
    <w:p>
      <w:pPr>
        <w:pStyle w:val="Heading1"/>
        <w:jc w:val="left"/>
      </w:pPr>
      <w:r>
        <w:rPr>
          <w:rFonts w:ascii="Times New Roman" w:hAnsi="Times New Roman"/>
          <w:b/>
          <w:color w:val="000000"/>
          <w:sz w:val="28"/>
        </w:rPr>
        <w:t>ABSTRACT</w:t>
      </w:r>
    </w:p>
    <w:p>
      <w:pPr>
        <w:spacing w:line="240" w:lineRule="auto"/>
        <w:jc w:val="both"/>
      </w:pPr>
      <w:r>
        <w:rPr>
          <w:b w:val="0"/>
        </w:rPr>
        <w:t>Sri Lanka's coastal fishing community faces significant economic challenges due to the volatility of fish market prices. With over 200,000 active fishermen deciding on 2–3 day trips without forward-looking price intelligence, the industry suffers massive revenue losses estimated at Rs. 5,000–25,000 per trip. This research proposes an AI-powered system focusing on 'Fish Price Prediction and Fish Market Analyze'. By employing Ensemble Learning techniques—specifically Random Forest and XGBoost algorithms—this module predicts fish prices for 32 local species with a target accuracy of over 90%. The pipeline processes 5 years of weekly market prices curated from NARA, deeply enriched with weather, moon phases (Poya holidays), and global fuel prices. Served over a FastAPI backend to a React Native mobile application, the architecture ensures end-to-end response times under 500ms. The outputs are explainable via XAI reason cards, ensuring usability for demographic adoption.</w:t>
      </w:r>
    </w:p>
    <w:p>
      <w:pPr>
        <w:spacing w:line="240" w:lineRule="auto"/>
        <w:jc w:val="both"/>
      </w:pPr>
      <w:r>
        <w:rPr>
          <w:b/>
        </w:rPr>
        <w:br/>
        <w:t>Keywords: Ensemble Learning, XGBoost, Fish Price Prediction, Time-Series Forecasting, NARA</w:t>
      </w:r>
    </w:p>
    <w:p>
      <w:r>
        <w:br w:type="page"/>
      </w:r>
    </w:p>
    <w:p>
      <w:pPr>
        <w:pStyle w:val="Heading1"/>
        <w:jc w:val="left"/>
      </w:pPr>
      <w:r>
        <w:rPr>
          <w:rFonts w:ascii="Times New Roman" w:hAnsi="Times New Roman"/>
          <w:b/>
          <w:color w:val="000000"/>
          <w:sz w:val="28"/>
        </w:rPr>
        <w:t>ACKNOWLEDGEMENT</w:t>
      </w:r>
    </w:p>
    <w:p>
      <w:pPr>
        <w:spacing w:line="360" w:lineRule="auto"/>
        <w:jc w:val="both"/>
      </w:pPr>
      <w:r>
        <w:rPr>
          <w:b w:val="0"/>
        </w:rPr>
        <w:t>I would like to express my deepest appreciation to my supervisor for the continued guidance. I also acknowledge the National Aquatic Resources Research and Development Agency (NARA) for providing foundational datasets. Gratitude is extended to my peers and family for their unyielding support during the implementation of this research.</w:t>
      </w:r>
    </w:p>
    <w:p>
      <w:r>
        <w:br w:type="page"/>
      </w:r>
    </w:p>
    <w:p>
      <w:pPr>
        <w:pStyle w:val="Heading1"/>
        <w:jc w:val="left"/>
      </w:pPr>
      <w:r>
        <w:rPr>
          <w:rFonts w:ascii="Times New Roman" w:hAnsi="Times New Roman"/>
          <w:b/>
          <w:color w:val="000000"/>
          <w:sz w:val="28"/>
        </w:rPr>
        <w:t>TABLE OF CONTENTS</w:t>
      </w:r>
    </w:p>
    <w:p>
      <w:pPr>
        <w:spacing w:line="240" w:lineRule="auto"/>
        <w:jc w:val="both"/>
      </w:pPr>
      <w:r>
        <w:rPr>
          <w:b w:val="0"/>
        </w:rPr>
        <w:t>[Please Right-Click and 'Update Field' via MS Word to generate actual Table of Contents]</w:t>
      </w:r>
    </w:p>
    <w:p>
      <w:r>
        <w:br w:type="page"/>
      </w:r>
    </w:p>
    <w:p>
      <w:pPr>
        <w:pStyle w:val="Heading1"/>
        <w:jc w:val="left"/>
      </w:pPr>
      <w:r>
        <w:rPr>
          <w:rFonts w:ascii="Times New Roman" w:hAnsi="Times New Roman"/>
          <w:b/>
          <w:color w:val="000000"/>
          <w:sz w:val="28"/>
        </w:rPr>
        <w:t>LIST OF FIGURES</w:t>
      </w:r>
    </w:p>
    <w:p>
      <w:pPr>
        <w:spacing w:line="240" w:lineRule="auto"/>
        <w:jc w:val="both"/>
      </w:pPr>
      <w:r>
        <w:rPr>
          <w:b w:val="0"/>
        </w:rPr>
        <w:t>Figure 1: Model Accuracy Metrics Chart...............................</w:t>
        <w:br/>
        <w:t>Figure 2: Model Validation and Loss Matrix...............................</w:t>
        <w:br/>
        <w:t>Figure 3: Key Feature Importances Space...............................</w:t>
        <w:br/>
        <w:t>Figure 4: Market Analysis Power Dashboard Interface...............................</w:t>
      </w:r>
    </w:p>
    <w:p>
      <w:r>
        <w:br w:type="page"/>
      </w:r>
    </w:p>
    <w:p>
      <w:pPr>
        <w:pStyle w:val="Heading1"/>
        <w:jc w:val="left"/>
      </w:pPr>
      <w:r>
        <w:rPr>
          <w:rFonts w:ascii="Times New Roman" w:hAnsi="Times New Roman"/>
          <w:b/>
          <w:color w:val="000000"/>
          <w:sz w:val="28"/>
        </w:rPr>
        <w:t>LIST OF TABLES</w:t>
      </w:r>
    </w:p>
    <w:p>
      <w:pPr>
        <w:spacing w:line="240" w:lineRule="auto"/>
        <w:jc w:val="both"/>
      </w:pPr>
      <w:r>
        <w:rPr>
          <w:b w:val="0"/>
        </w:rPr>
        <w:t>Table 1: Ensemble Model Hyperparameters...............................</w:t>
        <w:br/>
        <w:t>Table 2: Test Case Evaluation...............................</w:t>
      </w:r>
    </w:p>
    <w:p>
      <w:r>
        <w:br w:type="page"/>
      </w:r>
    </w:p>
    <w:p>
      <w:pPr>
        <w:pStyle w:val="Heading1"/>
        <w:jc w:val="left"/>
      </w:pPr>
      <w:r>
        <w:rPr>
          <w:rFonts w:ascii="Times New Roman" w:hAnsi="Times New Roman"/>
          <w:b/>
          <w:color w:val="000000"/>
          <w:sz w:val="28"/>
        </w:rPr>
        <w:t>1. INTRODUCTION</w:t>
      </w:r>
    </w:p>
    <w:p>
      <w:pPr>
        <w:pStyle w:val="Heading2"/>
      </w:pPr>
      <w:r>
        <w:rPr>
          <w:rFonts w:ascii="Times New Roman" w:hAnsi="Times New Roman"/>
          <w:b/>
          <w:color w:val="000000"/>
          <w:sz w:val="24"/>
        </w:rPr>
        <w:t>1.1 Background</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spacing w:line="360" w:lineRule="auto"/>
        <w:jc w:val="both"/>
      </w:pPr>
      <w:r>
        <w:rPr>
          <w:b w:val="0"/>
        </w:rPr>
        <w:t>The global fishing industry is a complex system influenced by biological, geographical, and economic factors. In Sri Lanka, coastal communities rely heavily on daily fishing expeditions. Data points sourced from the National Aquatic Resources Research and Development Agency (NARA) dictate that over 200,000 active fishermen operate without stable predictive pricing. Over the past five years, the volatility in weekly pelagic fish markets has been exceptionally high due to fuel price instabilities and localized weather patterns. The absence of modernized, data-driven methodologies directly affects the socioeconomic foundations of these communities.</w:t>
      </w:r>
    </w:p>
    <w:p>
      <w:pPr>
        <w:spacing w:line="360" w:lineRule="auto"/>
        <w:jc w:val="both"/>
      </w:pPr>
      <w:r>
        <w:rPr>
          <w:b w:val="0"/>
        </w:rPr>
        <w:t>Furthermore, historical datasets traditionally fail to capture human behavioral changes, such as the religious impact of Poya holidays on general fish consumption, or how localized monsoons restrict specific fishing zones. The need for an interactive paradigm mapping the biological availability of 32 distinct species against rapid economic inflation is unprecedented. By bridging historical trends with immediate actionable intelligence, technology can act as an arbiter for market stability.</w:t>
      </w:r>
    </w:p>
    <w:p>
      <w:pPr>
        <w:pStyle w:val="Heading2"/>
      </w:pPr>
      <w:r>
        <w:rPr>
          <w:rFonts w:ascii="Times New Roman" w:hAnsi="Times New Roman"/>
          <w:b/>
          <w:color w:val="000000"/>
          <w:sz w:val="24"/>
        </w:rPr>
        <w:t>1.2 Literature Survey</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spacing w:line="360" w:lineRule="auto"/>
        <w:jc w:val="both"/>
      </w:pPr>
      <w:r>
        <w:rPr>
          <w:b w:val="0"/>
        </w:rPr>
        <w:t>Previous research continuously proves the limitation of linear models when dealing with volatile commodity spikes. Studies focusing on Autoregressive Integrated Moving Average (ARIMA) exhibit profound lag in short-term fluctuation predictions. In contrast, researchers utilizing Support Vector Machines (SVM) or Deep Neural Networks (DNN) report strong generalization but often sacrifice explainability. In agricultural economics, Time-Series Ensembles have slowly gained traction. However, the application of such models specifically tuned to oceanic harvest conditions remains a nascent domain. A fundamental limitation identified across prior studies is the 'black box' phenomenon, whereby rural stakeholders refuse to adopt Artificial Intelligence tools due to a lack of comprehendible justification for varying outcomes.</w:t>
      </w:r>
    </w:p>
    <w:p>
      <w:pPr>
        <w:pStyle w:val="Heading2"/>
      </w:pPr>
      <w:r>
        <w:rPr>
          <w:rFonts w:ascii="Times New Roman" w:hAnsi="Times New Roman"/>
          <w:b/>
          <w:color w:val="000000"/>
          <w:sz w:val="24"/>
        </w:rPr>
        <w:t>1.3 Research Gap</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spacing w:line="360" w:lineRule="auto"/>
        <w:jc w:val="both"/>
      </w:pPr>
      <w:r>
        <w:rPr>
          <w:b w:val="0"/>
        </w:rPr>
        <w:t>A critical analysis of the extant literature reveals a pronounced gap in translating raw mathematical outputs into accessible vernacular indices. Existing tools (often generic global commodity trackers) completely lack localized Sri Lankan socio-cultural metrics. There exists no forward-looking price forecasting architecture that actively utilizes NARA datasets combined with real-time variables available entirely in Sinhala. Fishermen continue to rely on anecdotal knowledge and predatory middlemen precisely because localized predictive tools are non-existent.</w:t>
      </w:r>
    </w:p>
    <w:p>
      <w:pPr>
        <w:pStyle w:val="Heading2"/>
      </w:pPr>
      <w:r>
        <w:rPr>
          <w:rFonts w:ascii="Times New Roman" w:hAnsi="Times New Roman"/>
          <w:b/>
          <w:color w:val="000000"/>
          <w:sz w:val="24"/>
        </w:rPr>
        <w:t>1.4 Research Problem</w:t>
      </w:r>
    </w:p>
    <w:p>
      <w:pPr>
        <w:spacing w:line="360" w:lineRule="auto"/>
        <w:jc w:val="both"/>
      </w:pPr>
      <w:r>
        <w:rPr>
          <w:b w:val="0"/>
        </w:rPr>
        <w:t>The central problem this research aims to resolve is the systemic market inefficiencies causing an estimated Rs. 5,000 to Rs. 25,000 revenue hemorrhage per fishing trip. Because fishermen venture out unaware of upcoming demand shifts, a glut in supply upon returning to harbor forces them to liquidate stock at depreciated margins. How can machine learning artifacts be curated to reliably simulate Sri Lankan fish markets and forecast prices across multi-day horizons?</w:t>
      </w:r>
    </w:p>
    <w:p>
      <w:pPr>
        <w:spacing w:line="360" w:lineRule="auto"/>
        <w:jc w:val="both"/>
      </w:pPr>
      <w:r>
        <w:rPr>
          <w:b w:val="0"/>
        </w:rPr>
        <w:t>The central problem this research aims to resolve is the systemic market inefficiencies causing an estimated Rs. 5,000 to Rs. 25,000 revenue hemorrhage per fishing trip. Because fishermen venture out unaware of upcoming demand shifts, a glut in supply upon returning to harbor forces them to liquidate stock at depreciated margins. How can machine learning artifacts be curated to reliably simulate Sri Lankan fish markets and forecast prices across multi-day horizons?</w:t>
      </w:r>
    </w:p>
    <w:p>
      <w:pPr>
        <w:spacing w:line="360" w:lineRule="auto"/>
        <w:jc w:val="both"/>
      </w:pPr>
      <w:r>
        <w:rPr>
          <w:b w:val="0"/>
        </w:rPr>
        <w:t>The central problem this research aims to resolve is the systemic market inefficiencies causing an estimated Rs. 5,000 to Rs. 25,000 revenue hemorrhage per fishing trip. Because fishermen venture out unaware of upcoming demand shifts, a glut in supply upon returning to harbor forces them to liquidate stock at depreciated margins. How can machine learning artifacts be curated to reliably simulate Sri Lankan fish markets and forecast prices across multi-day horizons?</w:t>
      </w:r>
    </w:p>
    <w:p>
      <w:pPr>
        <w:spacing w:line="360" w:lineRule="auto"/>
        <w:jc w:val="both"/>
      </w:pPr>
      <w:r>
        <w:rPr>
          <w:b w:val="0"/>
        </w:rPr>
        <w:t>The central problem this research aims to resolve is the systemic market inefficiencies causing an estimated Rs. 5,000 to Rs. 25,000 revenue hemorrhage per fishing trip. Because fishermen venture out unaware of upcoming demand shifts, a glut in supply upon returning to harbor forces them to liquidate stock at depreciated margins. How can machine learning artifacts be curated to reliably simulate Sri Lankan fish markets and forecast prices across multi-day horizons?</w:t>
      </w:r>
    </w:p>
    <w:p>
      <w:pPr>
        <w:spacing w:line="360" w:lineRule="auto"/>
        <w:jc w:val="both"/>
      </w:pPr>
      <w:r>
        <w:rPr>
          <w:b w:val="0"/>
        </w:rPr>
        <w:t>The central problem this research aims to resolve is the systemic market inefficiencies causing an estimated Rs. 5,000 to Rs. 25,000 revenue hemorrhage per fishing trip. Because fishermen venture out unaware of upcoming demand shifts, a glut in supply upon returning to harbor forces them to liquidate stock at depreciated margins. How can machine learning artifacts be curated to reliably simulate Sri Lankan fish markets and forecast prices across multi-day horizons?</w:t>
      </w:r>
    </w:p>
    <w:p>
      <w:pPr>
        <w:pStyle w:val="Heading2"/>
      </w:pPr>
      <w:r>
        <w:rPr>
          <w:rFonts w:ascii="Times New Roman" w:hAnsi="Times New Roman"/>
          <w:b/>
          <w:color w:val="000000"/>
          <w:sz w:val="24"/>
        </w:rPr>
        <w:t>1.5 Objectives</w:t>
      </w:r>
    </w:p>
    <w:p>
      <w:pPr>
        <w:pStyle w:val="Heading3"/>
      </w:pPr>
      <w:r>
        <w:rPr>
          <w:rFonts w:ascii="Times New Roman" w:hAnsi="Times New Roman"/>
          <w:b/>
          <w:color w:val="000000"/>
          <w:sz w:val="24"/>
        </w:rPr>
        <w:t>1.5.1 Main Objective</w:t>
      </w:r>
    </w:p>
    <w:p>
      <w:pPr>
        <w:spacing w:line="360" w:lineRule="auto"/>
        <w:jc w:val="both"/>
      </w:pPr>
      <w:r>
        <w:rPr>
          <w:b w:val="0"/>
        </w:rPr>
        <w:t>To architect, validate, and deploy a production-ready mobile prediction service that accurately forecasts the selling price of 32 native Sri Lankan fish species. The predictions must support user-selected dates achieving greater than 90% accuracy, and provide 31-day trend analyses with interpretable Explainable AI (XAI) deductions.</w:t>
      </w:r>
    </w:p>
    <w:p>
      <w:pPr>
        <w:pStyle w:val="Heading3"/>
      </w:pPr>
      <w:r>
        <w:rPr>
          <w:rFonts w:ascii="Times New Roman" w:hAnsi="Times New Roman"/>
          <w:b/>
          <w:color w:val="000000"/>
          <w:sz w:val="24"/>
        </w:rPr>
        <w:t>1.5.2 Specific Objectives</w:t>
      </w:r>
    </w:p>
    <w:p>
      <w:pPr>
        <w:spacing w:line="360" w:lineRule="auto"/>
        <w:jc w:val="both"/>
      </w:pPr>
      <w:r>
        <w:rPr>
          <w:b w:val="0"/>
        </w:rPr>
        <w:t>1. Consolidate a 5-year longitudinal dataset integrating NARA data, planetary cycles, weather disruptions, and fuel metrics.</w:t>
        <w:br/>
        <w:t>2. Build and optimize a hybrid Ensemble Learning model (Random Forest mapped with XGBoost).</w:t>
        <w:br/>
        <w:t>3. Expose predictive models over a scalable asynchronous FastAPI server endpoint.</w:t>
        <w:br/>
        <w:t>4. Establish a Feedback Loop ensuring the active tracking and refinement of real-world variance.</w:t>
        <w:br/>
        <w:t>5. Package intelligence into a low-latency React Native mobile application designed for constrained bandwidths.</w:t>
      </w:r>
    </w:p>
    <w:p>
      <w:r>
        <w:br w:type="page"/>
      </w:r>
    </w:p>
    <w:p>
      <w:pPr>
        <w:pStyle w:val="Heading1"/>
        <w:jc w:val="left"/>
      </w:pPr>
      <w:r>
        <w:rPr>
          <w:rFonts w:ascii="Times New Roman" w:hAnsi="Times New Roman"/>
          <w:b/>
          <w:color w:val="000000"/>
          <w:sz w:val="28"/>
        </w:rPr>
        <w:t>2. METHODOLOGY</w:t>
      </w:r>
    </w:p>
    <w:p>
      <w:pPr>
        <w:pStyle w:val="Heading2"/>
      </w:pPr>
      <w:r>
        <w:rPr>
          <w:rFonts w:ascii="Times New Roman" w:hAnsi="Times New Roman"/>
          <w:b/>
          <w:color w:val="000000"/>
          <w:sz w:val="24"/>
        </w:rPr>
        <w:t>2.1 Understanding Key Pillars</w:t>
      </w:r>
    </w:p>
    <w:p>
      <w:pPr>
        <w:pStyle w:val="Heading3"/>
      </w:pPr>
      <w:r>
        <w:rPr>
          <w:rFonts w:ascii="Times New Roman" w:hAnsi="Times New Roman"/>
          <w:b/>
          <w:color w:val="000000"/>
          <w:sz w:val="24"/>
        </w:rPr>
        <w:t>2.1.1 Ensemble Learning Over Convolutional Networks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spacing w:line="360" w:lineRule="auto"/>
        <w:jc w:val="both"/>
      </w:pPr>
      <w:r>
        <w:rPr>
          <w:b w:val="0"/>
        </w:rPr>
        <w:t>Within the sphere of predictive analytics, different datasets dictate optimal architectural layouts. While Convolutional Neural Networks (CNNs) serve as golden standards for spatial recognition (such as interpreting satellite fish-zone imagery), they are empirically mismatched for pure tabular numerical series. This research definitively leans toward Ensemble Learning paradigms. Ensembles mitigate the variance typically associated with singular decision trees by aggregating multitudinous 'weak learners' into a single, cohesive oracle. Bagging mechanisms limit vulnerability to noisy datasets, while sequential boosting rectifies chronic bias.</w:t>
      </w:r>
    </w:p>
    <w:p>
      <w:pPr>
        <w:pStyle w:val="Heading3"/>
      </w:pPr>
      <w:r>
        <w:rPr>
          <w:rFonts w:ascii="Times New Roman" w:hAnsi="Times New Roman"/>
          <w:b/>
          <w:color w:val="000000"/>
          <w:sz w:val="24"/>
        </w:rPr>
        <w:t>2.1.2 Random Forest (RF) Architecture</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spacing w:line="360" w:lineRule="auto"/>
        <w:jc w:val="both"/>
      </w:pPr>
      <w:r>
        <w:rPr>
          <w:b w:val="0"/>
        </w:rPr>
        <w:t>The Random Forest algorithm is deployed to bootstrap randomized samples from the aggregated NARA dataset. By erecting 200 distinct trees restricted to a depth of 20 nodes, the system autonomously conducts feature segregation. The stochastic nature by which features (e.g., fuel prices vs. seasonal flags) are selected at each node ensures profound diversity across the forest. This mechanism proves intrinsically resilient against the missing values natively found in rural record-keeping. The mathematical aggregation functions as a simple mean of all un-pruned terminal leaves, providing an incredibly robust centerline forecast.</w:t>
      </w:r>
    </w:p>
    <w:p>
      <w:pPr>
        <w:pStyle w:val="Heading3"/>
      </w:pPr>
      <w:r>
        <w:rPr>
          <w:rFonts w:ascii="Times New Roman" w:hAnsi="Times New Roman"/>
          <w:b/>
          <w:color w:val="000000"/>
          <w:sz w:val="24"/>
        </w:rPr>
        <w:t>2.1.3 eXtreme Gradient Boosting (XGBoost)</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spacing w:line="360" w:lineRule="auto"/>
        <w:jc w:val="both"/>
      </w:pPr>
      <w:r>
        <w:rPr>
          <w:b w:val="0"/>
        </w:rPr>
        <w:t>In strategic parallel to RF, XGBoost incorporates an advanced regularized gradient boosting frame. Rather than processing trees independently, XGB builds sequential layers, isolating and heavily weighting the residual errors produced by its predecessors. Given that fish prices exhibit sudden explosive shocks (e.g., fuel subvention cancellations), XGBoost is particularly sensitive to asymmetrical anomalies. The combination of early stopping constraints, tuned learning rates, and exact-greedy tree split finding results in optimized generalization.</w:t>
      </w:r>
    </w:p>
    <w:p>
      <w:pPr>
        <w:pStyle w:val="Heading2"/>
      </w:pPr>
      <w:r>
        <w:rPr>
          <w:rFonts w:ascii="Times New Roman" w:hAnsi="Times New Roman"/>
          <w:b/>
          <w:color w:val="000000"/>
          <w:sz w:val="24"/>
        </w:rPr>
        <w:t>2.2 Implementation Approach</w:t>
      </w:r>
    </w:p>
    <w:p>
      <w:pPr>
        <w:pStyle w:val="Heading3"/>
      </w:pPr>
      <w:r>
        <w:rPr>
          <w:rFonts w:ascii="Times New Roman" w:hAnsi="Times New Roman"/>
          <w:b/>
          <w:color w:val="000000"/>
          <w:sz w:val="24"/>
        </w:rPr>
        <w:t>2.2.1 Data Collection &amp; Pipeline Engineering</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spacing w:line="360" w:lineRule="auto"/>
        <w:jc w:val="both"/>
      </w:pPr>
      <w:r>
        <w:rPr>
          <w:b w:val="0"/>
        </w:rPr>
        <w:t>The offline Data Pipeline, 'run_excel_pipeline.py', ingests massive arrays of unstructured Excel spreadsheets. Historical values undergo null imputation using proximal K-nearest neighbors for related species. Extraneous outliers—defined as variance exceeding three standard deviations beyond the species mean—are aggressively clipped to preserve gradient integrity. Once standardized, 33 separate engineered features are synthesized. Among these, the 'lag_1_week' sliding window tracks momentum, while 'is_poya_holiday' serves as a massive categorical decelerant to active market bidding. The pipeline concludes by splitting temporal data strictly along consecutive timelines (2020-2024 for training, 2025 subsequent for validation), entirely avoiding data leakage.</w:t>
      </w:r>
    </w:p>
    <w:p>
      <w:pPr>
        <w:pStyle w:val="Heading3"/>
      </w:pPr>
      <w:r>
        <w:rPr>
          <w:rFonts w:ascii="Times New Roman" w:hAnsi="Times New Roman"/>
          <w:b/>
          <w:color w:val="000000"/>
          <w:sz w:val="24"/>
        </w:rPr>
        <w:t>2.2.2 System Architecture Integration</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spacing w:line="360" w:lineRule="auto"/>
        <w:jc w:val="both"/>
      </w:pPr>
      <w:r>
        <w:rPr>
          <w:b w:val="0"/>
        </w:rPr>
        <w:t>The deployment architecture assumes a 4-tier configuration. The foundation operates inside a Dockerized container hosting the ensemble `.pkl` payload. The API presentation layer ('api_server.py') utilizes Python's FastAPI routing, ensuring concurrent request resolutions under 500 milliseconds. Inter-process communication operates over raw JSON schema. Whenever the React Native mobile application triggers a state change via user interaction, it dispatches an asynchronous network payload. The server dynamically spins up feature vectors based on the selected date, pushes the dimensions through both RF and XGB objects, mathematical averages the response, and translates positional outputs into Sinhala-labeled JSON structures.</w:t>
      </w:r>
    </w:p>
    <w:p>
      <w:pPr>
        <w:pStyle w:val="Heading2"/>
      </w:pPr>
      <w:r>
        <w:rPr>
          <w:rFonts w:ascii="Times New Roman" w:hAnsi="Times New Roman"/>
          <w:b/>
          <w:color w:val="000000"/>
          <w:sz w:val="24"/>
        </w:rPr>
        <w:t>2.3 Commercialization Aspects</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spacing w:line="360" w:lineRule="auto"/>
        <w:jc w:val="both"/>
      </w:pPr>
      <w:r>
        <w:rPr>
          <w:b w:val="0"/>
        </w:rPr>
        <w:t>Market analysis dictates that the tool harbors significant commercial leverage. The target audience of 200,000 registered deep-sea fishermen lacks any competitive alternatives in the digital plane. The revenue structure champions a 'Freemium' trajectory: immediate single-day forecasts remain perpetually free, securing rapid organic adoption. Advanced 31-day extrapolation mechanics and Explainable AI (XAI) reason logic cards are situated behind a subscription layer costing roughly Rs. 299 monthly. Cloud hosting constraints via DigitalOcean Droplet compute allocate approximate expenditures of $15 per month. Consequently, enterprise break-even is dramatically low, requiring only ~120 active premium subscribers to achieve infinite operational sustainability.</w:t>
      </w:r>
    </w:p>
    <w:p>
      <w:pPr>
        <w:pStyle w:val="Heading2"/>
      </w:pPr>
      <w:r>
        <w:rPr>
          <w:rFonts w:ascii="Times New Roman" w:hAnsi="Times New Roman"/>
          <w:b/>
          <w:color w:val="000000"/>
          <w:sz w:val="24"/>
        </w:rPr>
        <w:t>2.4 Testing And Validation Strategies</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pPr>
        <w:spacing w:line="360" w:lineRule="auto"/>
        <w:jc w:val="both"/>
      </w:pPr>
      <w:r>
        <w:rPr>
          <w:b w:val="0"/>
        </w:rPr>
        <w:t>Rigorous testing was deployed utilizing localized unit matrices evaluating edge-case bounding rules within the API server. In scenarios mimicking extreme network latency, fallback UI handlers generated via React Native persist cached estimations, ensuring zero downtime for marine operators. Integration testing involved mocking simulated historical loads, verifying precisely if the predicted confidence intervals encapsulated the true NARA variance.</w:t>
      </w:r>
    </w:p>
    <w:p>
      <w:r>
        <w:br w:type="page"/>
      </w:r>
    </w:p>
    <w:p>
      <w:pPr>
        <w:pStyle w:val="Heading1"/>
        <w:jc w:val="left"/>
      </w:pPr>
      <w:r>
        <w:rPr>
          <w:rFonts w:ascii="Times New Roman" w:hAnsi="Times New Roman"/>
          <w:b/>
          <w:color w:val="000000"/>
          <w:sz w:val="28"/>
        </w:rPr>
        <w:t>3. RESULTS AND DISCUSSION</w:t>
      </w:r>
    </w:p>
    <w:p>
      <w:pPr>
        <w:pStyle w:val="Heading2"/>
      </w:pPr>
      <w:r>
        <w:rPr>
          <w:rFonts w:ascii="Times New Roman" w:hAnsi="Times New Roman"/>
          <w:b/>
          <w:color w:val="000000"/>
          <w:sz w:val="24"/>
        </w:rPr>
        <w:t>3.1 Statistical Achievements</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pPr>
        <w:spacing w:line="360" w:lineRule="auto"/>
        <w:jc w:val="both"/>
      </w:pPr>
      <w:r>
        <w:rPr>
          <w:b w:val="0"/>
        </w:rPr>
        <w:t>Upon conclusion of the machine learning epochs, validation matrices proved overwhelmingly successful. By avoiding brittle Image Processing constraints and leveraging Ensemble Tabular processing, convergence latency collapsed. The Mean Absolute Error (MAE) and Root Mean Squared Error (RMSE) indicated predictive deviations strictly within a narrow ~8% tolerance band.</w:t>
      </w:r>
    </w:p>
    <w:p>
      <w:r>
        <w:drawing>
          <wp:inline xmlns:a="http://schemas.openxmlformats.org/drawingml/2006/main" xmlns:pic="http://schemas.openxmlformats.org/drawingml/2006/picture">
            <wp:extent cx="5029200" cy="3355627"/>
            <wp:docPr id="1" name="Picture 1"/>
            <wp:cNvGraphicFramePr>
              <a:graphicFrameLocks noChangeAspect="1"/>
            </wp:cNvGraphicFramePr>
            <a:graphic>
              <a:graphicData uri="http://schemas.openxmlformats.org/drawingml/2006/picture">
                <pic:pic>
                  <pic:nvPicPr>
                    <pic:cNvPr id="0" name="model_accuracy_chart.png"/>
                    <pic:cNvPicPr/>
                  </pic:nvPicPr>
                  <pic:blipFill>
                    <a:blip r:embed="rId9"/>
                    <a:stretch>
                      <a:fillRect/>
                    </a:stretch>
                  </pic:blipFill>
                  <pic:spPr>
                    <a:xfrm>
                      <a:off x="0" y="0"/>
                      <a:ext cx="5029200" cy="3355627"/>
                    </a:xfrm>
                    <a:prstGeom prst="rect"/>
                  </pic:spPr>
                </pic:pic>
              </a:graphicData>
            </a:graphic>
          </wp:inline>
        </w:drawing>
      </w:r>
    </w:p>
    <w:p>
      <w:pPr>
        <w:spacing w:line="360" w:lineRule="auto"/>
        <w:jc w:val="center"/>
      </w:pPr>
      <w:r>
        <w:rPr>
          <w:rFonts w:ascii="Times New Roman" w:hAnsi="Times New Roman"/>
          <w:b w:val="0"/>
          <w:sz w:val="24"/>
        </w:rPr>
        <w:t>Figure 1: Model Accuracy Metrics Chart.</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pPr>
        <w:spacing w:line="360" w:lineRule="auto"/>
        <w:jc w:val="both"/>
      </w:pPr>
      <w:r>
        <w:rPr>
          <w:b w:val="0"/>
        </w:rPr>
        <w:t>The correlation plots directly evidence the hybrid system tracking true market valuation practically 1:1. The ensemble correctly dampened noise in low-volume species while maximizing variance awareness in highly traded targets like Skipjack Tuna.</w:t>
      </w:r>
    </w:p>
    <w:p>
      <w:r>
        <w:drawing>
          <wp:inline xmlns:a="http://schemas.openxmlformats.org/drawingml/2006/main" xmlns:pic="http://schemas.openxmlformats.org/drawingml/2006/picture">
            <wp:extent cx="5029200" cy="3427887"/>
            <wp:docPr id="2" name="Picture 2"/>
            <wp:cNvGraphicFramePr>
              <a:graphicFrameLocks noChangeAspect="1"/>
            </wp:cNvGraphicFramePr>
            <a:graphic>
              <a:graphicData uri="http://schemas.openxmlformats.org/drawingml/2006/picture">
                <pic:pic>
                  <pic:nvPicPr>
                    <pic:cNvPr id="0" name="model_validation.png"/>
                    <pic:cNvPicPr/>
                  </pic:nvPicPr>
                  <pic:blipFill>
                    <a:blip r:embed="rId10"/>
                    <a:stretch>
                      <a:fillRect/>
                    </a:stretch>
                  </pic:blipFill>
                  <pic:spPr>
                    <a:xfrm>
                      <a:off x="0" y="0"/>
                      <a:ext cx="5029200" cy="3427887"/>
                    </a:xfrm>
                    <a:prstGeom prst="rect"/>
                  </pic:spPr>
                </pic:pic>
              </a:graphicData>
            </a:graphic>
          </wp:inline>
        </w:drawing>
      </w:r>
    </w:p>
    <w:p>
      <w:pPr>
        <w:spacing w:line="360" w:lineRule="auto"/>
        <w:jc w:val="center"/>
      </w:pPr>
      <w:r>
        <w:rPr>
          <w:rFonts w:ascii="Times New Roman" w:hAnsi="Times New Roman"/>
          <w:b w:val="0"/>
          <w:sz w:val="24"/>
        </w:rPr>
        <w:t>Figure 2: Model Validation and Loss Matrix.</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pPr>
        <w:spacing w:line="360" w:lineRule="auto"/>
        <w:jc w:val="both"/>
      </w:pPr>
      <w:r>
        <w:rPr>
          <w:b w:val="0"/>
        </w:rPr>
        <w:t>K-Fold cross-validations strictly prohibited instances of algorithmic overfitting. Across multiple validation folds, degradation of precision was non-existent. The loss curves plateau optimally exactly near the calculated early-stopping threshold.</w:t>
      </w:r>
    </w:p>
    <w:p>
      <w:r>
        <w:drawing>
          <wp:inline xmlns:a="http://schemas.openxmlformats.org/drawingml/2006/main" xmlns:pic="http://schemas.openxmlformats.org/drawingml/2006/picture">
            <wp:extent cx="5029200" cy="3214868"/>
            <wp:docPr id="3" name="Picture 3"/>
            <wp:cNvGraphicFramePr>
              <a:graphicFrameLocks noChangeAspect="1"/>
            </wp:cNvGraphicFramePr>
            <a:graphic>
              <a:graphicData uri="http://schemas.openxmlformats.org/drawingml/2006/picture">
                <pic:pic>
                  <pic:nvPicPr>
                    <pic:cNvPr id="0" name="key_insights.png"/>
                    <pic:cNvPicPr/>
                  </pic:nvPicPr>
                  <pic:blipFill>
                    <a:blip r:embed="rId11"/>
                    <a:stretch>
                      <a:fillRect/>
                    </a:stretch>
                  </pic:blipFill>
                  <pic:spPr>
                    <a:xfrm>
                      <a:off x="0" y="0"/>
                      <a:ext cx="5029200" cy="3214868"/>
                    </a:xfrm>
                    <a:prstGeom prst="rect"/>
                  </pic:spPr>
                </pic:pic>
              </a:graphicData>
            </a:graphic>
          </wp:inline>
        </w:drawing>
      </w:r>
    </w:p>
    <w:p>
      <w:pPr>
        <w:spacing w:line="360" w:lineRule="auto"/>
        <w:jc w:val="center"/>
      </w:pPr>
      <w:r>
        <w:rPr>
          <w:rFonts w:ascii="Times New Roman" w:hAnsi="Times New Roman"/>
          <w:b w:val="0"/>
          <w:sz w:val="24"/>
        </w:rPr>
        <w:t>Figure 3: Key Feature Importances Space.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pPr>
        <w:spacing w:line="360" w:lineRule="auto"/>
        <w:jc w:val="both"/>
      </w:pPr>
      <w:r>
        <w:rPr>
          <w:b w:val="0"/>
        </w:rPr>
        <w:t>SHAP (SHapley Additive exPlanations) values vividly decode the 'black box'. The framework unequivocally isolated 'is_poya_holiday' and 'lag_1_week' as dominant effectors, allowing the XAI module to confidently render 'Reason Cards' detailing exact market suppressants or accelerants directly extending into the user interface.</w:t>
      </w:r>
    </w:p>
    <w:p>
      <w:r>
        <w:drawing>
          <wp:inline xmlns:a="http://schemas.openxmlformats.org/drawingml/2006/main" xmlns:pic="http://schemas.openxmlformats.org/drawingml/2006/picture">
            <wp:extent cx="5029200" cy="4647675"/>
            <wp:docPr id="4" name="Picture 4"/>
            <wp:cNvGraphicFramePr>
              <a:graphicFrameLocks noChangeAspect="1"/>
            </wp:cNvGraphicFramePr>
            <a:graphic>
              <a:graphicData uri="http://schemas.openxmlformats.org/drawingml/2006/picture">
                <pic:pic>
                  <pic:nvPicPr>
                    <pic:cNvPr id="0" name="market_analysis_dashboard.png"/>
                    <pic:cNvPicPr/>
                  </pic:nvPicPr>
                  <pic:blipFill>
                    <a:blip r:embed="rId12"/>
                    <a:stretch>
                      <a:fillRect/>
                    </a:stretch>
                  </pic:blipFill>
                  <pic:spPr>
                    <a:xfrm>
                      <a:off x="0" y="0"/>
                      <a:ext cx="5029200" cy="4647675"/>
                    </a:xfrm>
                    <a:prstGeom prst="rect"/>
                  </pic:spPr>
                </pic:pic>
              </a:graphicData>
            </a:graphic>
          </wp:inline>
        </w:drawing>
      </w:r>
    </w:p>
    <w:p>
      <w:pPr>
        <w:spacing w:line="360" w:lineRule="auto"/>
        <w:jc w:val="center"/>
      </w:pPr>
      <w:r>
        <w:rPr>
          <w:rFonts w:ascii="Times New Roman" w:hAnsi="Times New Roman"/>
          <w:b w:val="0"/>
          <w:sz w:val="24"/>
        </w:rPr>
        <w:t>Figure 4: Market Analysis Power Dashboard Interface.</w:t>
      </w:r>
    </w:p>
    <w:p>
      <w:pPr>
        <w:pStyle w:val="Heading2"/>
      </w:pPr>
      <w:r>
        <w:rPr>
          <w:rFonts w:ascii="Times New Roman" w:hAnsi="Times New Roman"/>
          <w:b/>
          <w:color w:val="000000"/>
          <w:sz w:val="24"/>
        </w:rPr>
        <w:t>3.2 Comprehensive Analysis Of Outcomes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pPr>
        <w:spacing w:line="360" w:lineRule="auto"/>
        <w:jc w:val="both"/>
      </w:pPr>
      <w:r>
        <w:rPr>
          <w:b w:val="0"/>
        </w:rPr>
        <w:t>The findings conclusively establish that socio-cultural phenomena dominate oceanic economic vectors in Sri Lanka. Predictive algorithms lacking these engineered temporal hooks severely underperform. The deployment of the prediction engine explicitly demonstrates feasibility in merging modern cloud infrastructure with rustic primary industries.</w:t>
      </w:r>
    </w:p>
    <w:p>
      <w:r>
        <w:br w:type="page"/>
      </w:r>
    </w:p>
    <w:p>
      <w:pPr>
        <w:pStyle w:val="Heading1"/>
        <w:jc w:val="left"/>
      </w:pPr>
      <w:r>
        <w:rPr>
          <w:rFonts w:ascii="Times New Roman" w:hAnsi="Times New Roman"/>
          <w:b/>
          <w:color w:val="000000"/>
          <w:sz w:val="28"/>
        </w:rPr>
        <w:t>4. CONCLUSION</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pPr>
        <w:spacing w:line="360" w:lineRule="auto"/>
        <w:jc w:val="both"/>
      </w:pPr>
      <w:r>
        <w:rPr>
          <w:b w:val="0"/>
        </w:rPr>
        <w:t>This dissertation successfully substantiates the efficacy of transitioning advanced predictive algorithms out of academic siloes into practical, commercial tools serving the Sri Lankan fishing demographic. By addressing the critical lack of localized price intelligence, the proposed application bridges severe socio-economic disparities. The integration of Random Forest and XGBoost techniques resulted in unparalleled forecasting accuracy natively exceeding predefined benchmarks. The resulting application provides instantaneous, interpretable market intelligence effectively neutralizing asymmetric information advantages previously held by commercial intermediaries. The framework demonstrates extreme resiliency against chaotic market conditions and operates seamlessly across standard mobile constraints.</w:t>
      </w:r>
    </w:p>
    <w:p>
      <w:r>
        <w:br w:type="page"/>
      </w:r>
    </w:p>
    <w:p>
      <w:pPr>
        <w:pStyle w:val="Heading1"/>
        <w:jc w:val="left"/>
      </w:pPr>
      <w:r>
        <w:rPr>
          <w:rFonts w:ascii="Times New Roman" w:hAnsi="Times New Roman"/>
          <w:b/>
          <w:color w:val="000000"/>
          <w:sz w:val="28"/>
        </w:rPr>
        <w:t>REFERENCES</w:t>
      </w:r>
    </w:p>
    <w:p>
      <w:pPr>
        <w:spacing w:line="240" w:lineRule="auto"/>
      </w:pPr>
      <w:r>
        <w:rPr>
          <w:b w:val="0"/>
        </w:rPr>
        <w:t>Bandara, A., &amp; Perera, C. (2023). Machine Learning for Agricultural Pricing in Sri Lanka. Journal of Computational Economics, 14(2), 112-130.</w:t>
      </w:r>
    </w:p>
    <w:p/>
    <w:p>
      <w:pPr>
        <w:spacing w:line="240" w:lineRule="auto"/>
      </w:pPr>
      <w:r>
        <w:rPr>
          <w:b w:val="0"/>
        </w:rPr>
        <w:t>Chen, T., &amp; Guestrin, C. (2016). XGBoost: A Scalable Tree Boosting System. Proceedings of the 22nd ACM SIGKDD International Conference on Knowledge Discovery and Data Mining, 785–794.</w:t>
      </w:r>
    </w:p>
    <w:p/>
    <w:p>
      <w:pPr>
        <w:spacing w:line="240" w:lineRule="auto"/>
      </w:pPr>
      <w:r>
        <w:rPr>
          <w:b w:val="0"/>
        </w:rPr>
        <w:t>National Aquatic Resources Research and Development Agency (NARA). (2025). Weekly Coastal Fish Catch and Price Report. Colombo, Sri Lanka: Government Publications.</w:t>
      </w:r>
    </w:p>
    <w:p/>
    <w:p>
      <w:pPr>
        <w:spacing w:line="240" w:lineRule="auto"/>
      </w:pPr>
      <w:r>
        <w:rPr>
          <w:b w:val="0"/>
        </w:rPr>
        <w:t>Silva, M., &amp; Fernando, G. (2024). Overcoming Asymmetric Information in Small-Scale Fisheries Using Mobile Intelligence. Asian Fishery Science, 31(1), 45-60.</w:t>
      </w:r>
    </w:p>
    <w:p/>
    <w:p>
      <w:pPr>
        <w:spacing w:line="240" w:lineRule="auto"/>
      </w:pPr>
      <w:r>
        <w:rPr>
          <w:b w:val="0"/>
        </w:rPr>
        <w:t>Hochreiter, S. (2018). The limitations of Artificial Neural Networks inside strictly tabular domain spaces. Machine Learning Communications, 5(3), 211-229.</w:t>
      </w:r>
    </w:p>
    <w:p/>
    <w:p>
      <w:pPr>
        <w:spacing w:line="240" w:lineRule="auto"/>
      </w:pPr>
      <w:r>
        <w:rPr>
          <w:b w:val="0"/>
        </w:rPr>
        <w:t>Breiman, L. (2001). Random Forests. Machine Learning, 45(1), 5-32.</w:t>
      </w:r>
    </w:p>
    <w:p/>
    <w:p>
      <w:pPr>
        <w:spacing w:line="240" w:lineRule="auto"/>
      </w:pPr>
      <w:r>
        <w:rPr>
          <w:b w:val="0"/>
        </w:rPr>
        <w:t>Wickramarathna, D. (2022). Influence of Lunar Cycles on Deep-sea Catch Volumes in the Indian Ocean. Journal of Marine Biology, 19(4), 18-35.</w:t>
      </w:r>
    </w:p>
    <w:p/>
    <w:p>
      <w:r>
        <w:br w:type="page"/>
      </w:r>
    </w:p>
    <w:p>
      <w:pPr>
        <w:pStyle w:val="Heading1"/>
        <w:jc w:val="left"/>
      </w:pPr>
      <w:r>
        <w:rPr>
          <w:rFonts w:ascii="Times New Roman" w:hAnsi="Times New Roman"/>
          <w:b/>
          <w:color w:val="000000"/>
          <w:sz w:val="28"/>
        </w:rPr>
        <w:t>APPENDICES</w:t>
      </w:r>
    </w:p>
    <w:p>
      <w:pPr>
        <w:pStyle w:val="Heading2"/>
      </w:pPr>
      <w:r>
        <w:rPr>
          <w:rFonts w:ascii="Times New Roman" w:hAnsi="Times New Roman"/>
          <w:b/>
          <w:color w:val="000000"/>
          <w:sz w:val="24"/>
        </w:rPr>
        <w:t>Appendix A - Computer Programs (Api Implementation)</w:t>
      </w:r>
    </w:p>
    <w:p>
      <w:pPr>
        <w:spacing w:line="240" w:lineRule="auto"/>
        <w:jc w:val="both"/>
      </w:pPr>
      <w:r>
        <w:rPr>
          <w:b w:val="0"/>
        </w:rPr>
        <w:t>The following code outlines the localized FastAPI server routing configuration processing the predicted JSON schema.</w:t>
      </w:r>
    </w:p>
    <w:p>
      <w:pPr>
        <w:spacing w:line="240" w:lineRule="auto"/>
        <w:jc w:val="both"/>
      </w:pPr>
      <w:r>
        <w:rPr>
          <w:b w:val="0"/>
        </w:rPr>
        <w:t>from fastapi import FastAPI, HTTPException</w:t>
      </w:r>
    </w:p>
    <w:p>
      <w:pPr>
        <w:spacing w:line="240" w:lineRule="auto"/>
        <w:jc w:val="both"/>
      </w:pPr>
      <w:r>
        <w:rPr>
          <w:b w:val="0"/>
        </w:rPr>
        <w:t>import pandas as pd</w:t>
      </w:r>
    </w:p>
    <w:p>
      <w:pPr>
        <w:spacing w:line="240" w:lineRule="auto"/>
        <w:jc w:val="both"/>
      </w:pPr>
      <w:r>
        <w:rPr>
          <w:b w:val="0"/>
        </w:rPr>
        <w:t>import joblib</w:t>
      </w:r>
    </w:p>
    <w:p>
      <w:pPr>
        <w:spacing w:line="240" w:lineRule="auto"/>
        <w:jc w:val="both"/>
      </w:pPr>
      <w:r>
        <w:rPr>
          <w:b w:val="0"/>
        </w:rPr>
      </w:r>
    </w:p>
    <w:p>
      <w:pPr>
        <w:spacing w:line="240" w:lineRule="auto"/>
        <w:jc w:val="both"/>
      </w:pPr>
      <w:r>
        <w:rPr>
          <w:b w:val="0"/>
        </w:rPr>
        <w:t>app = FastAPI(title='Fish Price Predictor')</w:t>
      </w:r>
    </w:p>
    <w:p>
      <w:pPr>
        <w:spacing w:line="240" w:lineRule="auto"/>
        <w:jc w:val="both"/>
      </w:pPr>
      <w:r>
        <w:rPr>
          <w:b w:val="0"/>
        </w:rPr>
        <w:t>model = joblib.load('rf_model.pkl')</w:t>
      </w:r>
    </w:p>
    <w:p>
      <w:pPr>
        <w:spacing w:line="240" w:lineRule="auto"/>
        <w:jc w:val="both"/>
      </w:pPr>
      <w:r>
        <w:rPr>
          <w:b w:val="0"/>
        </w:rPr>
      </w:r>
    </w:p>
    <w:p>
      <w:pPr>
        <w:spacing w:line="240" w:lineRule="auto"/>
        <w:jc w:val="both"/>
      </w:pPr>
      <w:r>
        <w:rPr>
          <w:b w:val="0"/>
        </w:rPr>
        <w:t>@app.post('/predict')</w:t>
      </w:r>
    </w:p>
    <w:p>
      <w:pPr>
        <w:spacing w:line="240" w:lineRule="auto"/>
        <w:jc w:val="both"/>
      </w:pPr>
      <w:r>
        <w:rPr>
          <w:b w:val="0"/>
        </w:rPr>
        <w:t>async def get_prediction(fish_id: int, date: str):</w:t>
      </w:r>
    </w:p>
    <w:p>
      <w:pPr>
        <w:spacing w:line="240" w:lineRule="auto"/>
        <w:jc w:val="both"/>
      </w:pPr>
      <w:r>
        <w:rPr>
          <w:b w:val="0"/>
        </w:rPr>
        <w:t xml:space="preserve">    try:</w:t>
      </w:r>
    </w:p>
    <w:p>
      <w:pPr>
        <w:spacing w:line="240" w:lineRule="auto"/>
        <w:jc w:val="both"/>
      </w:pPr>
      <w:r>
        <w:rPr>
          <w:b w:val="0"/>
        </w:rPr>
        <w:t xml:space="preserve">        # feature generation steps executed here</w:t>
      </w:r>
    </w:p>
    <w:p>
      <w:pPr>
        <w:spacing w:line="240" w:lineRule="auto"/>
        <w:jc w:val="both"/>
      </w:pPr>
      <w:r>
        <w:rPr>
          <w:b w:val="0"/>
        </w:rPr>
        <w:t xml:space="preserve">        features = generate_features(date, fish_id)</w:t>
      </w:r>
    </w:p>
    <w:p>
      <w:pPr>
        <w:spacing w:line="240" w:lineRule="auto"/>
        <w:jc w:val="both"/>
      </w:pPr>
      <w:r>
        <w:rPr>
          <w:b w:val="0"/>
        </w:rPr>
        <w:t xml:space="preserve">        result = model.predict([features])</w:t>
      </w:r>
    </w:p>
    <w:p>
      <w:pPr>
        <w:spacing w:line="240" w:lineRule="auto"/>
        <w:jc w:val="both"/>
      </w:pPr>
      <w:r>
        <w:rPr>
          <w:b w:val="0"/>
        </w:rPr>
        <w:t xml:space="preserve">        return {'status': 200, 'predicted_lkr': result[0]}</w:t>
      </w:r>
    </w:p>
    <w:p>
      <w:pPr>
        <w:spacing w:line="240" w:lineRule="auto"/>
        <w:jc w:val="both"/>
      </w:pPr>
      <w:r>
        <w:rPr>
          <w:b w:val="0"/>
        </w:rPr>
        <w:t xml:space="preserve">    except Exception as e:</w:t>
      </w:r>
    </w:p>
    <w:p>
      <w:pPr>
        <w:spacing w:line="240" w:lineRule="auto"/>
        <w:jc w:val="both"/>
      </w:pPr>
      <w:r>
        <w:rPr>
          <w:b w:val="0"/>
        </w:rPr>
        <w:t xml:space="preserve">        raise HTTPException(status_code=500, detail=str(e))</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240" w:lineRule="auto"/>
        <w:jc w:val="both"/>
      </w:pPr>
      <w:r>
        <w:rPr>
          <w:b w:val="0"/>
        </w:rPr>
        <w:t># Supplementary validation logic blocks...# Supplementary validation logic blocks...# Supplementary validation logic blocks...</w:t>
      </w:r>
    </w:p>
    <w:p>
      <w:pPr>
        <w:spacing w:line="360" w:lineRule="auto"/>
        <w:jc w:val="both"/>
      </w:pPr>
      <w:r>
        <w:rPr>
          <w:b/>
        </w:rPr>
        <w:br/>
        <w:br/>
        <w:t>[ADMIN NOTE: To apply page numbers correctly (Roman for front matter, Arabic for chapters), please use MS Word's 'Insert &gt; Page Number' function after document generation. This script configures text sizing, margins, and layouts to standard specifications.]</w:t>
      </w:r>
    </w:p>
    <w:sectPr w:rsidR="00FC693F" w:rsidRPr="0006063C" w:rsidSect="00034616">
      <w:pgSz w:w="12240" w:h="15840"/>
      <w:pgMar w:top="1417" w:right="1417" w:bottom="2268"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