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nent-3-model-comparison-scores"/>
    <w:p>
      <w:pPr>
        <w:pStyle w:val="Heading1"/>
      </w:pPr>
      <w:r>
        <w:t xml:space="preserve">Component 3 — Model Comparison Scores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Alagiyawanna S.A.M.A.V.P</w:t>
      </w:r>
      <w:r>
        <w:br/>
      </w:r>
      <w:r>
        <w:rPr>
          <w:bCs/>
          <w:b/>
        </w:rPr>
        <w:t xml:space="preserve">Student ID:</w:t>
      </w:r>
      <w:r>
        <w:t xml:space="preserve"> </w:t>
      </w:r>
      <w:r>
        <w:t xml:space="preserve">IT22904614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t xml:space="preserve">Emergency Situation Detection and Management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c>
          <w:p>
            <w:pPr>
              <w:pStyle w:val="Compact"/>
              <w:jc w:val="left"/>
            </w:pPr>
            <w:r>
              <w:t xml:space="preserve">ML output</w:t>
            </w:r>
          </w:p>
        </w:tc>
        <w:tc>
          <w:p>
            <w:pPr>
              <w:pStyle w:val="Compact"/>
              <w:jc w:val="left"/>
            </w:pPr>
            <w:r>
              <w:t xml:space="preserve">Compared model</w:t>
            </w:r>
          </w:p>
        </w:tc>
        <w:tc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p>
            <w:pPr>
              <w:pStyle w:val="Compact"/>
              <w:jc w:val="righ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risk type</w:t>
            </w:r>
          </w:p>
        </w:tc>
        <w:tc>
          <w:p>
            <w:pPr>
              <w:pStyle w:val="Compact"/>
              <w:jc w:val="left"/>
            </w:pPr>
            <w:r>
              <w:t xml:space="preserve">Dummy baseline</w:t>
            </w:r>
          </w:p>
        </w:tc>
        <w:tc>
          <w:p>
            <w:pPr>
              <w:pStyle w:val="Compact"/>
              <w:jc w:val="right"/>
            </w:pPr>
            <w:r>
              <w:t xml:space="preserve">32.27%</w:t>
            </w:r>
          </w:p>
        </w:tc>
        <w:tc>
          <w:p>
            <w:pPr>
              <w:pStyle w:val="Compact"/>
              <w:jc w:val="right"/>
            </w:pPr>
            <w:r>
              <w:t xml:space="preserve">6.97%</w:t>
            </w:r>
          </w:p>
        </w:tc>
        <w:tc>
          <w:p>
            <w:pPr>
              <w:pStyle w:val="Compact"/>
              <w:jc w:val="right"/>
            </w:pPr>
            <w:r>
              <w:t xml:space="preserve">15.75%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risk type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76.42%</w:t>
            </w:r>
          </w:p>
        </w:tc>
        <w:tc>
          <w:p>
            <w:pPr>
              <w:pStyle w:val="Compact"/>
              <w:jc w:val="right"/>
            </w:pPr>
            <w:r>
              <w:t xml:space="preserve">80.44%</w:t>
            </w:r>
          </w:p>
        </w:tc>
        <w:tc>
          <w:p>
            <w:pPr>
              <w:pStyle w:val="Compact"/>
              <w:jc w:val="right"/>
            </w:pPr>
            <w:r>
              <w:t xml:space="preserve">76.94%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risk type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81.77%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90.08%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81.93%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risk type</w:t>
            </w:r>
          </w:p>
        </w:tc>
        <w:tc>
          <w:p>
            <w:pPr>
              <w:pStyle w:val="Compact"/>
              <w:jc w:val="left"/>
            </w:pPr>
            <w:r>
              <w:t xml:space="preserve">Extra Trees</w:t>
            </w:r>
          </w:p>
        </w:tc>
        <w:tc>
          <w:p>
            <w:pPr>
              <w:pStyle w:val="Compact"/>
              <w:jc w:val="right"/>
            </w:pPr>
            <w:r>
              <w:t xml:space="preserve">80.10%</w:t>
            </w:r>
          </w:p>
        </w:tc>
        <w:tc>
          <w:p>
            <w:pPr>
              <w:pStyle w:val="Compact"/>
              <w:jc w:val="right"/>
            </w:pPr>
            <w:r>
              <w:t xml:space="preserve">89.24%</w:t>
            </w:r>
          </w:p>
        </w:tc>
        <w:tc>
          <w:p>
            <w:pPr>
              <w:pStyle w:val="Compact"/>
              <w:jc w:val="right"/>
            </w:pPr>
            <w:r>
              <w:t xml:space="preserve">80.17%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order risk V3</w:t>
            </w:r>
          </w:p>
        </w:tc>
        <w:tc>
          <w:p>
            <w:pPr>
              <w:pStyle w:val="Compact"/>
              <w:jc w:val="left"/>
            </w:pPr>
            <w:r>
              <w:t xml:space="preserve">Dummy baseline</w:t>
            </w:r>
          </w:p>
        </w:tc>
        <w:tc>
          <w:p>
            <w:pPr>
              <w:pStyle w:val="Compact"/>
              <w:jc w:val="right"/>
            </w:pPr>
            <w:r>
              <w:t xml:space="preserve">5.85%</w:t>
            </w:r>
          </w:p>
        </w:tc>
        <w:tc>
          <w:p>
            <w:pPr>
              <w:pStyle w:val="Compact"/>
              <w:jc w:val="right"/>
            </w:pPr>
            <w:r>
              <w:t xml:space="preserve">5.53%</w:t>
            </w:r>
          </w:p>
        </w:tc>
        <w:tc>
          <w:p>
            <w:pPr>
              <w:pStyle w:val="Compact"/>
              <w:jc w:val="right"/>
            </w:pPr>
            <w:r>
              <w:t xml:space="preserve">0.65%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order risk V3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99.67%</w:t>
            </w:r>
          </w:p>
        </w:tc>
        <w:tc>
          <w:p>
            <w:pPr>
              <w:pStyle w:val="Compact"/>
              <w:jc w:val="right"/>
            </w:pPr>
            <w:r>
              <w:t xml:space="preserve">98.52%</w:t>
            </w:r>
          </w:p>
        </w:tc>
        <w:tc>
          <w:p>
            <w:pPr>
              <w:pStyle w:val="Compact"/>
              <w:jc w:val="right"/>
            </w:pPr>
            <w:r>
              <w:t xml:space="preserve">99.67%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order risk V3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99.83%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99.25%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99.83%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order risk V3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99.83%</w:t>
            </w:r>
          </w:p>
        </w:tc>
        <w:tc>
          <w:p>
            <w:pPr>
              <w:pStyle w:val="Compact"/>
              <w:jc w:val="right"/>
            </w:pPr>
            <w:r>
              <w:t xml:space="preserve">99.25%</w:t>
            </w:r>
          </w:p>
        </w:tc>
        <w:tc>
          <w:p>
            <w:pPr>
              <w:pStyle w:val="Compact"/>
              <w:jc w:val="right"/>
            </w:pPr>
            <w:r>
              <w:t xml:space="preserve">99.83%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breakdown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Dummy baseline</w:t>
            </w:r>
          </w:p>
        </w:tc>
        <w:tc>
          <w:p>
            <w:pPr>
              <w:pStyle w:val="Compact"/>
              <w:jc w:val="right"/>
            </w:pPr>
            <w:r>
              <w:t xml:space="preserve">72.99%</w:t>
            </w:r>
          </w:p>
        </w:tc>
        <w:tc>
          <w:p>
            <w:pPr>
              <w:pStyle w:val="Compact"/>
              <w:jc w:val="right"/>
            </w:pPr>
            <w:r>
              <w:t xml:space="preserve">42.19%</w:t>
            </w:r>
          </w:p>
        </w:tc>
        <w:tc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breakdown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81.03%</w:t>
            </w:r>
          </w:p>
        </w:tc>
        <w:tc>
          <w:p>
            <w:pPr>
              <w:pStyle w:val="Compact"/>
              <w:jc w:val="right"/>
            </w:pPr>
            <w:r>
              <w:t xml:space="preserve">77.96%</w:t>
            </w:r>
          </w:p>
        </w:tc>
        <w:tc>
          <w:p>
            <w:pPr>
              <w:pStyle w:val="Compact"/>
              <w:jc w:val="right"/>
            </w:pPr>
            <w:r>
              <w:t xml:space="preserve">69.72%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breakdown — next 3 days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85.63%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82.56%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75.25%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breakdown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83.33%</w:t>
            </w:r>
          </w:p>
        </w:tc>
        <w:tc>
          <w:p>
            <w:pPr>
              <w:pStyle w:val="Compact"/>
              <w:jc w:val="right"/>
            </w:pPr>
            <w:r>
              <w:t xml:space="preserve">80.00%</w:t>
            </w:r>
          </w:p>
        </w:tc>
        <w:tc>
          <w:p>
            <w:pPr>
              <w:pStyle w:val="Compact"/>
              <w:jc w:val="right"/>
            </w:pPr>
            <w:r>
              <w:t xml:space="preserve">71.84%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Quality-limit issue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Dummy baseline</w:t>
            </w:r>
          </w:p>
        </w:tc>
        <w:tc>
          <w:p>
            <w:pPr>
              <w:pStyle w:val="Compact"/>
              <w:jc w:val="right"/>
            </w:pPr>
            <w:r>
              <w:t xml:space="preserve">77.01%</w:t>
            </w:r>
          </w:p>
        </w:tc>
        <w:tc>
          <w:p>
            <w:pPr>
              <w:pStyle w:val="Compact"/>
              <w:jc w:val="right"/>
            </w:pPr>
            <w:r>
              <w:t xml:space="preserve">43.51%</w:t>
            </w:r>
          </w:p>
        </w:tc>
        <w:tc>
          <w:p>
            <w:pPr>
              <w:pStyle w:val="Compact"/>
              <w:jc w:val="right"/>
            </w:pPr>
            <w:r>
              <w:t xml:space="preserve">87.01%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Quality-limit issue — next 3 days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63.79%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53.13%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75.49%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Quality-limit issue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75.29%</w:t>
            </w:r>
          </w:p>
        </w:tc>
        <w:tc>
          <w:p>
            <w:pPr>
              <w:pStyle w:val="Compact"/>
              <w:jc w:val="right"/>
            </w:pPr>
            <w:r>
              <w:t xml:space="preserve">48.93%</w:t>
            </w:r>
          </w:p>
        </w:tc>
        <w:tc>
          <w:p>
            <w:pPr>
              <w:pStyle w:val="Compact"/>
              <w:jc w:val="right"/>
            </w:pPr>
            <w:r>
              <w:t xml:space="preserve">85.62%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Quality-limit issue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70.69%</w:t>
            </w:r>
          </w:p>
        </w:tc>
        <w:tc>
          <w:p>
            <w:pPr>
              <w:pStyle w:val="Compact"/>
              <w:jc w:val="right"/>
            </w:pPr>
            <w:r>
              <w:t xml:space="preserve">50.58%</w:t>
            </w:r>
          </w:p>
        </w:tc>
        <w:tc>
          <w:p>
            <w:pPr>
              <w:pStyle w:val="Compact"/>
              <w:jc w:val="right"/>
            </w:pPr>
            <w:r>
              <w:t xml:space="preserve">82.11%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Output/schedule risk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Dummy baseline</w:t>
            </w:r>
          </w:p>
        </w:tc>
        <w:tc>
          <w:p>
            <w:pPr>
              <w:pStyle w:val="Compact"/>
              <w:jc w:val="right"/>
            </w:pPr>
            <w:r>
              <w:t xml:space="preserve">85.63%</w:t>
            </w:r>
          </w:p>
        </w:tc>
        <w:tc>
          <w:p>
            <w:pPr>
              <w:pStyle w:val="Compact"/>
              <w:jc w:val="right"/>
            </w:pPr>
            <w:r>
              <w:t xml:space="preserve">46.13%</w:t>
            </w:r>
          </w:p>
        </w:tc>
        <w:tc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Output/schedule risk — next 3 days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72.99%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62.82%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43.37%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Output/schedule risk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82.18%</w:t>
            </w:r>
          </w:p>
        </w:tc>
        <w:tc>
          <w:p>
            <w:pPr>
              <w:pStyle w:val="Compact"/>
              <w:jc w:val="right"/>
            </w:pPr>
            <w:r>
              <w:t xml:space="preserve">45.11%</w:t>
            </w:r>
          </w:p>
        </w:tc>
        <w:tc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Output/schedule risk — next 3 days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75.86%</w:t>
            </w:r>
          </w:p>
        </w:tc>
        <w:tc>
          <w:p>
            <w:pPr>
              <w:pStyle w:val="Compact"/>
              <w:jc w:val="right"/>
            </w:pPr>
            <w:r>
              <w:t xml:space="preserve">52.52%</w:t>
            </w:r>
          </w:p>
        </w:tc>
        <w:tc>
          <w:p>
            <w:pPr>
              <w:pStyle w:val="Compact"/>
              <w:jc w:val="right"/>
            </w:pPr>
            <w:r>
              <w:t xml:space="preserve">19.23%</w:t>
            </w:r>
          </w:p>
        </w:tc>
        <w:tc>
          <w:p>
            <w:pPr>
              <w:pStyle w:val="Compact"/>
              <w:jc w:val="left"/>
            </w:pPr>
            <w:r>
              <w:t xml:space="preserve">Not selected</w:t>
            </w:r>
          </w:p>
        </w:tc>
      </w:tr>
    </w:tbl>
    <w:p>
      <w:pPr>
        <w:pStyle w:val="BodyText"/>
      </w:pPr>
      <w:r>
        <w:rPr>
          <w:iCs/>
          <w:i/>
        </w:rPr>
        <w:t xml:space="preserve">For the two current/order-risk models, the F1 column reports Weighted-F1. For the three early-warning models, it reports positive-class F1.</w:t>
      </w:r>
    </w:p>
    <w:bookmarkStart w:id="20" w:name="X87af20996c20e3bcdcb8611ca8499a18e266632"/>
    <w:p>
      <w:pPr>
        <w:pStyle w:val="Heading2"/>
      </w:pPr>
      <w:r>
        <w:t xml:space="preserve">Calibrated Early-Warning Scores Used by the Active System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Selected early-warning model</w:t>
            </w:r>
          </w:p>
        </w:tc>
        <w:tc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p>
            <w:pPr>
              <w:pStyle w:val="Compact"/>
              <w:jc w:val="right"/>
            </w:pPr>
            <w:r>
              <w:t xml:space="preserve">F1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breakdown — 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86.21%</w:t>
            </w:r>
          </w:p>
        </w:tc>
        <w:tc>
          <w:p>
            <w:pPr>
              <w:pStyle w:val="Compact"/>
              <w:jc w:val="right"/>
            </w:pPr>
            <w:r>
              <w:t xml:space="preserve">84.05%</w:t>
            </w:r>
          </w:p>
        </w:tc>
        <w:tc>
          <w:p>
            <w:pPr>
              <w:pStyle w:val="Compact"/>
              <w:jc w:val="right"/>
            </w:pPr>
            <w:r>
              <w:t xml:space="preserve">78.18%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Quality-limit issue — 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66.67%</w:t>
            </w:r>
          </w:p>
        </w:tc>
        <w:tc>
          <w:p>
            <w:pPr>
              <w:pStyle w:val="Compact"/>
              <w:jc w:val="right"/>
            </w:pPr>
            <w:r>
              <w:t xml:space="preserve">51.18%</w:t>
            </w:r>
          </w:p>
        </w:tc>
        <w:tc>
          <w:p>
            <w:pPr>
              <w:pStyle w:val="Compact"/>
              <w:jc w:val="right"/>
            </w:pPr>
            <w:r>
              <w:t xml:space="preserve">78.68%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Output/schedule risk — 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79.31%</w:t>
            </w:r>
          </w:p>
        </w:tc>
        <w:tc>
          <w:p>
            <w:pPr>
              <w:pStyle w:val="Compact"/>
              <w:jc w:val="right"/>
            </w:pPr>
            <w:r>
              <w:t xml:space="preserve">63.75%</w:t>
            </w:r>
          </w:p>
        </w:tc>
        <w:tc>
          <w:p>
            <w:pPr>
              <w:pStyle w:val="Compact"/>
              <w:jc w:val="right"/>
            </w:pPr>
            <w:r>
              <w:t xml:space="preserve">40.00%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2026-08-29T12:53:07Z</dcterms:created>
  <dcterms:modified xsi:type="dcterms:W3CDTF">2026-08-29T12:53:07Z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