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003366"/>
          <w:sz w:val="44"/>
        </w:rPr>
        <w:t>IT3101 – Data Warehousing &amp; Business Intelligence</w:t>
      </w:r>
    </w:p>
    <w:p>
      <w:pPr>
        <w:spacing w:after="480"/>
        <w:jc w:val="center"/>
      </w:pPr>
      <w:r>
        <w:rPr>
          <w:color w:val="555555"/>
          <w:sz w:val="28"/>
        </w:rPr>
        <w:t>Design and Implementation of an End-to-End Data Warehouse and Business Intelligence Solution</w:t>
        <w:br/>
        <w:t>Case Study: Brazilian E-Commerce Marketplace (Olist)</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003366"/>
          </w:tcPr>
          <w:p>
            <w:pPr>
              <w:spacing w:before="40" w:after="40"/>
            </w:pPr>
            <w:r>
              <w:rPr>
                <w:b/>
                <w:color w:val="FFFFFF"/>
                <w:sz w:val="19"/>
              </w:rPr>
              <w:t>Module Code &amp; Title:</w:t>
            </w:r>
          </w:p>
        </w:tc>
        <w:tc>
          <w:tcPr>
            <w:tcW w:type="dxa" w:w="4680"/>
            <w:tcMar>
              <w:top w:w="100" w:type="dxa"/>
              <w:bottom w:w="100" w:type="dxa"/>
              <w:left w:w="150" w:type="dxa"/>
              <w:right w:w="150" w:type="dxa"/>
            </w:tcMar>
            <w:shd w:fill="003366"/>
          </w:tcPr>
          <w:p>
            <w:pPr>
              <w:spacing w:before="40" w:after="40"/>
            </w:pPr>
            <w:r>
              <w:rPr>
                <w:b/>
                <w:color w:val="FFFFFF"/>
                <w:sz w:val="19"/>
              </w:rPr>
              <w:t>IT3101 - Data Warehousing &amp; Business Intelligence</w:t>
            </w:r>
          </w:p>
        </w:tc>
      </w:tr>
      <w:tr>
        <w:tc>
          <w:tcPr>
            <w:tcW w:type="dxa" w:w="4680"/>
            <w:tcMar>
              <w:top w:w="100" w:type="dxa"/>
              <w:bottom w:w="100" w:type="dxa"/>
              <w:left w:w="150" w:type="dxa"/>
              <w:right w:w="150" w:type="dxa"/>
            </w:tcMar>
            <w:shd w:fill="FFFFFF"/>
          </w:tcPr>
          <w:p>
            <w:pPr>
              <w:spacing w:before="40" w:after="40"/>
            </w:pPr>
            <w:r>
              <w:rPr>
                <w:b/>
                <w:sz w:val="18"/>
              </w:rPr>
              <w:t>Academic Level:</w:t>
            </w:r>
          </w:p>
        </w:tc>
        <w:tc>
          <w:tcPr>
            <w:tcW w:type="dxa" w:w="4680"/>
            <w:tcMar>
              <w:top w:w="100" w:type="dxa"/>
              <w:bottom w:w="100" w:type="dxa"/>
              <w:left w:w="150" w:type="dxa"/>
              <w:right w:w="150" w:type="dxa"/>
            </w:tcMar>
            <w:shd w:fill="FFFFFF"/>
          </w:tcPr>
          <w:p>
            <w:pPr>
              <w:spacing w:before="40" w:after="40"/>
            </w:pPr>
            <w:r>
              <w:rPr>
                <w:sz w:val="18"/>
              </w:rPr>
              <w:t>BSc (Hons) in Information Technology / Computing</w:t>
            </w:r>
          </w:p>
        </w:tc>
      </w:tr>
      <w:tr>
        <w:tc>
          <w:tcPr>
            <w:tcW w:type="dxa" w:w="4680"/>
            <w:tcMar>
              <w:top w:w="100" w:type="dxa"/>
              <w:bottom w:w="100" w:type="dxa"/>
              <w:left w:w="150" w:type="dxa"/>
              <w:right w:w="150" w:type="dxa"/>
            </w:tcMar>
            <w:shd w:fill="F9FBFC"/>
          </w:tcPr>
          <w:p>
            <w:pPr>
              <w:spacing w:before="40" w:after="40"/>
            </w:pPr>
            <w:r>
              <w:rPr>
                <w:b/>
                <w:sz w:val="18"/>
              </w:rPr>
              <w:t>Assignment Title:</w:t>
            </w:r>
          </w:p>
        </w:tc>
        <w:tc>
          <w:tcPr>
            <w:tcW w:type="dxa" w:w="4680"/>
            <w:tcMar>
              <w:top w:w="100" w:type="dxa"/>
              <w:bottom w:w="100" w:type="dxa"/>
              <w:left w:w="150" w:type="dxa"/>
              <w:right w:w="150" w:type="dxa"/>
            </w:tcMar>
            <w:shd w:fill="F9FBFC"/>
          </w:tcPr>
          <w:p>
            <w:pPr>
              <w:spacing w:before="40" w:after="40"/>
            </w:pPr>
            <w:r>
              <w:rPr>
                <w:sz w:val="18"/>
              </w:rPr>
              <w:t>Design and Implementation of a DWBI Solution</w:t>
            </w:r>
          </w:p>
        </w:tc>
      </w:tr>
      <w:tr>
        <w:tc>
          <w:tcPr>
            <w:tcW w:type="dxa" w:w="4680"/>
            <w:tcMar>
              <w:top w:w="100" w:type="dxa"/>
              <w:bottom w:w="100" w:type="dxa"/>
              <w:left w:w="150" w:type="dxa"/>
              <w:right w:w="150" w:type="dxa"/>
            </w:tcMar>
            <w:shd w:fill="FFFFFF"/>
          </w:tcPr>
          <w:p>
            <w:pPr>
              <w:spacing w:before="40" w:after="40"/>
            </w:pPr>
            <w:r>
              <w:rPr>
                <w:b/>
                <w:sz w:val="18"/>
              </w:rPr>
              <w:t>Business Scenario:</w:t>
            </w:r>
          </w:p>
        </w:tc>
        <w:tc>
          <w:tcPr>
            <w:tcW w:type="dxa" w:w="4680"/>
            <w:tcMar>
              <w:top w:w="100" w:type="dxa"/>
              <w:bottom w:w="100" w:type="dxa"/>
              <w:left w:w="150" w:type="dxa"/>
              <w:right w:w="150" w:type="dxa"/>
            </w:tcMar>
            <w:shd w:fill="FFFFFF"/>
          </w:tcPr>
          <w:p>
            <w:pPr>
              <w:spacing w:before="40" w:after="40"/>
            </w:pPr>
            <w:r>
              <w:rPr>
                <w:sz w:val="18"/>
              </w:rPr>
              <w:t>Olist Brazilian E-Commerce Marketplace (2016–2018)</w:t>
            </w:r>
          </w:p>
        </w:tc>
      </w:tr>
      <w:tr>
        <w:tc>
          <w:tcPr>
            <w:tcW w:type="dxa" w:w="4680"/>
            <w:tcMar>
              <w:top w:w="100" w:type="dxa"/>
              <w:bottom w:w="100" w:type="dxa"/>
              <w:left w:w="150" w:type="dxa"/>
              <w:right w:w="150" w:type="dxa"/>
            </w:tcMar>
            <w:shd w:fill="F9FBFC"/>
          </w:tcPr>
          <w:p>
            <w:pPr>
              <w:spacing w:before="40" w:after="40"/>
            </w:pPr>
            <w:r>
              <w:rPr>
                <w:b/>
                <w:sz w:val="18"/>
              </w:rPr>
              <w:t>Technology Stack:</w:t>
            </w:r>
          </w:p>
        </w:tc>
        <w:tc>
          <w:tcPr>
            <w:tcW w:type="dxa" w:w="4680"/>
            <w:tcMar>
              <w:top w:w="100" w:type="dxa"/>
              <w:bottom w:w="100" w:type="dxa"/>
              <w:left w:w="150" w:type="dxa"/>
              <w:right w:w="150" w:type="dxa"/>
            </w:tcMar>
            <w:shd w:fill="F9FBFC"/>
          </w:tcPr>
          <w:p>
            <w:pPr>
              <w:spacing w:before="40" w:after="40"/>
            </w:pPr>
            <w:r>
              <w:rPr>
                <w:sz w:val="18"/>
              </w:rPr>
              <w:t>SQL Server 2025, SSIS / Python ETL, SSAS Tabular, Power BI</w:t>
            </w:r>
          </w:p>
        </w:tc>
      </w:tr>
      <w:tr>
        <w:tc>
          <w:tcPr>
            <w:tcW w:type="dxa" w:w="4680"/>
            <w:tcMar>
              <w:top w:w="100" w:type="dxa"/>
              <w:bottom w:w="100" w:type="dxa"/>
              <w:left w:w="150" w:type="dxa"/>
              <w:right w:w="150" w:type="dxa"/>
            </w:tcMar>
            <w:shd w:fill="FFFFFF"/>
          </w:tcPr>
          <w:p>
            <w:pPr>
              <w:spacing w:before="40" w:after="40"/>
            </w:pPr>
            <w:r>
              <w:rPr>
                <w:b/>
                <w:sz w:val="18"/>
              </w:rPr>
              <w:t>Submission Type:</w:t>
            </w:r>
          </w:p>
        </w:tc>
        <w:tc>
          <w:tcPr>
            <w:tcW w:type="dxa" w:w="4680"/>
            <w:tcMar>
              <w:top w:w="100" w:type="dxa"/>
              <w:bottom w:w="100" w:type="dxa"/>
              <w:left w:w="150" w:type="dxa"/>
              <w:right w:w="150" w:type="dxa"/>
            </w:tcMar>
            <w:shd w:fill="FFFFFF"/>
          </w:tcPr>
          <w:p>
            <w:pPr>
              <w:spacing w:before="40" w:after="40"/>
            </w:pPr>
            <w:r>
              <w:rPr>
                <w:sz w:val="18"/>
              </w:rPr>
              <w:t>Comprehensive Technical Report &amp; Practical Artifacts</w:t>
            </w:r>
          </w:p>
        </w:tc>
      </w:tr>
    </w:tbl>
    <w:p>
      <w:r>
        <w:br w:type="page"/>
      </w:r>
    </w:p>
    <w:p>
      <w:pPr>
        <w:pStyle w:val="Heading1"/>
      </w:pPr>
      <w:r>
        <w:t>Executive Summary</w:t>
      </w:r>
    </w:p>
    <w:p>
      <w:r>
        <w:t>Modern multi-sided marketplace platforms face operational and strategic challenges in balancing buyer satisfaction, seller logistics performance, and geographic expansion. This report presents a production-grade, end-to-end Data Warehouse and Business Intelligence (DW/BI) solution engineered on the real-world operational dataset of Olist, Brazil's premier e-commerce marketplace platform, encompassing 99,441 customer orders and 112,650 order items from 2016 through 2018.</w:t>
      </w:r>
    </w:p>
    <w:p>
      <w:r>
        <w:t>The project integrates three heterogeneous data source types (9 operational CSV flat files, a normalized SQL Server relational database staging layer, and an external macroeconomic exchange-rate REST API). The dimensional storage layer implements a Kimball-standard Star Schema anchored on dw.fact_order_items and surrounded by five conformed dimensions (Customer, Product, Seller, Date, Geography). Zero orphan foreign keys exist across all 112,650 fact rows. Two specialized data marts (Logistics Performance and Sales Performance) provide targeted aggregation layers. An SSAS Tabular semantic model with 17 custom DAX measures powers an interactive 3-page Power BI dashboard. Finally, five empirical business hypotheses were validated through direct analytical queries to provide actionable strategic recommendations.</w:t>
      </w:r>
    </w:p>
    <w:p>
      <w:pPr>
        <w:pStyle w:val="Heading1"/>
      </w:pPr>
      <w:r>
        <w:t>Declaration of AI Usage (CLEAR Framework)</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2C3E50"/>
          </w:tcPr>
          <w:p>
            <w:pPr>
              <w:spacing w:before="40" w:after="40"/>
            </w:pPr>
            <w:r>
              <w:rPr>
                <w:b/>
                <w:color w:val="FFFFFF"/>
                <w:sz w:val="19"/>
              </w:rPr>
              <w:t>Framework Pillar</w:t>
            </w:r>
          </w:p>
        </w:tc>
        <w:tc>
          <w:tcPr>
            <w:tcW w:type="dxa" w:w="4680"/>
            <w:tcMar>
              <w:top w:w="100" w:type="dxa"/>
              <w:bottom w:w="100" w:type="dxa"/>
              <w:left w:w="150" w:type="dxa"/>
              <w:right w:w="150" w:type="dxa"/>
            </w:tcMar>
            <w:shd w:fill="2C3E50"/>
          </w:tcPr>
          <w:p>
            <w:pPr>
              <w:spacing w:before="40" w:after="40"/>
            </w:pPr>
            <w:r>
              <w:rPr>
                <w:b/>
                <w:color w:val="FFFFFF"/>
                <w:sz w:val="19"/>
              </w:rPr>
              <w:t>Application and Academic Governance</w:t>
            </w:r>
          </w:p>
        </w:tc>
      </w:tr>
      <w:tr>
        <w:tc>
          <w:tcPr>
            <w:tcW w:type="dxa" w:w="4680"/>
            <w:tcMar>
              <w:top w:w="100" w:type="dxa"/>
              <w:bottom w:w="100" w:type="dxa"/>
              <w:left w:w="150" w:type="dxa"/>
              <w:right w:w="150" w:type="dxa"/>
            </w:tcMar>
            <w:shd w:fill="FFFFFF"/>
          </w:tcPr>
          <w:p>
            <w:pPr>
              <w:spacing w:before="40" w:after="40"/>
            </w:pPr>
            <w:r>
              <w:rPr>
                <w:sz w:val="18"/>
              </w:rPr>
              <w:t>Context (C)</w:t>
            </w:r>
          </w:p>
        </w:tc>
        <w:tc>
          <w:tcPr>
            <w:tcW w:type="dxa" w:w="4680"/>
            <w:tcMar>
              <w:top w:w="100" w:type="dxa"/>
              <w:bottom w:w="100" w:type="dxa"/>
              <w:left w:w="150" w:type="dxa"/>
              <w:right w:w="150" w:type="dxa"/>
            </w:tcMar>
            <w:shd w:fill="FFFFFF"/>
          </w:tcPr>
          <w:p>
            <w:pPr>
              <w:spacing w:before="40" w:after="40"/>
            </w:pPr>
            <w:r>
              <w:rPr>
                <w:sz w:val="18"/>
              </w:rPr>
              <w:t>AI was utilized for boilerplate DDL script generation, formatting XML/BIM and DAX measure syntaxes, and accelerating repetitive tabular declarations.</w:t>
            </w:r>
          </w:p>
        </w:tc>
      </w:tr>
      <w:tr>
        <w:tc>
          <w:tcPr>
            <w:tcW w:type="dxa" w:w="4680"/>
            <w:tcMar>
              <w:top w:w="100" w:type="dxa"/>
              <w:bottom w:w="100" w:type="dxa"/>
              <w:left w:w="150" w:type="dxa"/>
              <w:right w:w="150" w:type="dxa"/>
            </w:tcMar>
            <w:shd w:fill="F9FBFC"/>
          </w:tcPr>
          <w:p>
            <w:pPr>
              <w:spacing w:before="40" w:after="40"/>
            </w:pPr>
            <w:r>
              <w:rPr>
                <w:sz w:val="18"/>
              </w:rPr>
              <w:t>Limitations (L)</w:t>
            </w:r>
          </w:p>
        </w:tc>
        <w:tc>
          <w:tcPr>
            <w:tcW w:type="dxa" w:w="4680"/>
            <w:tcMar>
              <w:top w:w="100" w:type="dxa"/>
              <w:bottom w:w="100" w:type="dxa"/>
              <w:left w:w="150" w:type="dxa"/>
              <w:right w:w="150" w:type="dxa"/>
            </w:tcMar>
            <w:shd w:fill="F9FBFC"/>
          </w:tcPr>
          <w:p>
            <w:pPr>
              <w:spacing w:before="40" w:after="40"/>
            </w:pPr>
            <w:r>
              <w:rPr>
                <w:sz w:val="18"/>
              </w:rPr>
              <w:t>AI tools lacked local database environment connectivity, requiring human intervention for SQL Server ODBC driver configuration, data type resolution (Decimal vs NumPy), and syntax fixes.</w:t>
            </w:r>
          </w:p>
        </w:tc>
      </w:tr>
      <w:tr>
        <w:tc>
          <w:tcPr>
            <w:tcW w:type="dxa" w:w="4680"/>
            <w:tcMar>
              <w:top w:w="100" w:type="dxa"/>
              <w:bottom w:w="100" w:type="dxa"/>
              <w:left w:w="150" w:type="dxa"/>
              <w:right w:w="150" w:type="dxa"/>
            </w:tcMar>
            <w:shd w:fill="FFFFFF"/>
          </w:tcPr>
          <w:p>
            <w:pPr>
              <w:spacing w:before="40" w:after="40"/>
            </w:pPr>
            <w:r>
              <w:rPr>
                <w:sz w:val="18"/>
              </w:rPr>
              <w:t>Evaluation (E)</w:t>
            </w:r>
          </w:p>
        </w:tc>
        <w:tc>
          <w:tcPr>
            <w:tcW w:type="dxa" w:w="4680"/>
            <w:tcMar>
              <w:top w:w="100" w:type="dxa"/>
              <w:bottom w:w="100" w:type="dxa"/>
              <w:left w:w="150" w:type="dxa"/>
              <w:right w:w="150" w:type="dxa"/>
            </w:tcMar>
            <w:shd w:fill="FFFFFF"/>
          </w:tcPr>
          <w:p>
            <w:pPr>
              <w:spacing w:before="40" w:after="40"/>
            </w:pPr>
            <w:r>
              <w:rPr>
                <w:sz w:val="18"/>
              </w:rPr>
              <w:t>All generated queries, schemas, and ETL pipelines were independently tested against raw Kaggle source files and verified through automated validation scripts.</w:t>
            </w:r>
          </w:p>
        </w:tc>
      </w:tr>
      <w:tr>
        <w:tc>
          <w:tcPr>
            <w:tcW w:type="dxa" w:w="4680"/>
            <w:tcMar>
              <w:top w:w="100" w:type="dxa"/>
              <w:bottom w:w="100" w:type="dxa"/>
              <w:left w:w="150" w:type="dxa"/>
              <w:right w:w="150" w:type="dxa"/>
            </w:tcMar>
            <w:shd w:fill="F9FBFC"/>
          </w:tcPr>
          <w:p>
            <w:pPr>
              <w:spacing w:before="40" w:after="40"/>
            </w:pPr>
            <w:r>
              <w:rPr>
                <w:sz w:val="18"/>
              </w:rPr>
              <w:t>Adaptation (A)</w:t>
            </w:r>
          </w:p>
        </w:tc>
        <w:tc>
          <w:tcPr>
            <w:tcW w:type="dxa" w:w="4680"/>
            <w:tcMar>
              <w:top w:w="100" w:type="dxa"/>
              <w:bottom w:w="100" w:type="dxa"/>
              <w:left w:w="150" w:type="dxa"/>
              <w:right w:w="150" w:type="dxa"/>
            </w:tcMar>
            <w:shd w:fill="F9FBFC"/>
          </w:tcPr>
          <w:p>
            <w:pPr>
              <w:spacing w:before="40" w:after="40"/>
            </w:pPr>
            <w:r>
              <w:rPr>
                <w:sz w:val="18"/>
              </w:rPr>
              <w:t>The ETL design was adapted into a hybrid Python/SSIS architecture to ensure automated reproducibility and continuous validation while maintaining full SSIS package compliance.</w:t>
            </w:r>
          </w:p>
        </w:tc>
      </w:tr>
      <w:tr>
        <w:tc>
          <w:tcPr>
            <w:tcW w:type="dxa" w:w="4680"/>
            <w:tcMar>
              <w:top w:w="100" w:type="dxa"/>
              <w:bottom w:w="100" w:type="dxa"/>
              <w:left w:w="150" w:type="dxa"/>
              <w:right w:w="150" w:type="dxa"/>
            </w:tcMar>
            <w:shd w:fill="FFFFFF"/>
          </w:tcPr>
          <w:p>
            <w:pPr>
              <w:spacing w:before="40" w:after="40"/>
            </w:pPr>
            <w:r>
              <w:rPr>
                <w:sz w:val="18"/>
              </w:rPr>
              <w:t>Responsibility (R)</w:t>
            </w:r>
          </w:p>
        </w:tc>
        <w:tc>
          <w:tcPr>
            <w:tcW w:type="dxa" w:w="4680"/>
            <w:tcMar>
              <w:top w:w="100" w:type="dxa"/>
              <w:bottom w:w="100" w:type="dxa"/>
              <w:left w:w="150" w:type="dxa"/>
              <w:right w:w="150" w:type="dxa"/>
            </w:tcMar>
            <w:shd w:fill="FFFFFF"/>
          </w:tcPr>
          <w:p>
            <w:pPr>
              <w:spacing w:before="40" w:after="40"/>
            </w:pPr>
            <w:r>
              <w:rPr>
                <w:sz w:val="18"/>
              </w:rPr>
              <w:t>The final dimensional architecture, grain determination, surrogate key strategy, and strategic business recommendations represent the verified intellectual work of the student.</w:t>
            </w:r>
          </w:p>
        </w:tc>
      </w:tr>
    </w:tbl>
    <w:p>
      <w:r>
        <w:br w:type="page"/>
      </w:r>
    </w:p>
    <w:p>
      <w:pPr>
        <w:pStyle w:val="Heading1"/>
      </w:pPr>
      <w:r>
        <w:t>Task 1: Dataset Selection and Business Scenario Identification</w:t>
      </w:r>
    </w:p>
    <w:p>
      <w:pPr>
        <w:pStyle w:val="Heading2"/>
      </w:pPr>
      <w:r>
        <w:t>1.1 Business Domain &amp; Operational Environment</w:t>
      </w:r>
    </w:p>
    <w:p>
      <w:r>
        <w:t>The selected business domain is Retail / Multi-Sided E-Commerce. Olist functions as a marketplace integrator connecting small, independent merchant businesses throughout Brazil with major e-commerce storefronts (Mercado Livre, B2W, Amazon Brazil). Olist manages catalog listing, order fulfillment coordination via national logistics carrier agreements, and customer review collection.</w:t>
      </w:r>
    </w:p>
    <w:p>
      <w:pPr>
        <w:pStyle w:val="Heading2"/>
      </w:pPr>
      <w:r>
        <w:t>1.2 Purpose of the Analytical System</w:t>
      </w:r>
    </w:p>
    <w:p>
      <w:r>
        <w:t>While Olist's operational OLTP databases excel at recording daily checkout transactions, they cannot effectively evaluate cross-state freight cost burdens, identify merchants causing delivery bottlenecks, or decouple physical merchandise quality issues from shipping delays. This DW/BI solution establishes a centralized single source of truth for cross-functional performance analytics.</w:t>
      </w:r>
    </w:p>
    <w:p>
      <w:pPr>
        <w:pStyle w:val="Heading2"/>
      </w:pPr>
      <w:r>
        <w:t>1.3 Dataset Statistics &amp; Profile</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005691"/>
          </w:tcPr>
          <w:p>
            <w:pPr>
              <w:spacing w:before="40" w:after="40"/>
            </w:pPr>
            <w:r>
              <w:rPr>
                <w:b/>
                <w:color w:val="FFFFFF"/>
                <w:sz w:val="19"/>
              </w:rPr>
              <w:t>Operational Source File</w:t>
            </w:r>
          </w:p>
        </w:tc>
        <w:tc>
          <w:tcPr>
            <w:tcW w:type="dxa" w:w="2340"/>
            <w:tcMar>
              <w:top w:w="100" w:type="dxa"/>
              <w:bottom w:w="100" w:type="dxa"/>
              <w:left w:w="150" w:type="dxa"/>
              <w:right w:w="150" w:type="dxa"/>
            </w:tcMar>
            <w:shd w:fill="005691"/>
          </w:tcPr>
          <w:p>
            <w:pPr>
              <w:spacing w:before="40" w:after="40"/>
            </w:pPr>
            <w:r>
              <w:rPr>
                <w:b/>
                <w:color w:val="FFFFFF"/>
                <w:sz w:val="19"/>
              </w:rPr>
              <w:t>Source Entity</w:t>
            </w:r>
          </w:p>
        </w:tc>
        <w:tc>
          <w:tcPr>
            <w:tcW w:type="dxa" w:w="2340"/>
            <w:tcMar>
              <w:top w:w="100" w:type="dxa"/>
              <w:bottom w:w="100" w:type="dxa"/>
              <w:left w:w="150" w:type="dxa"/>
              <w:right w:w="150" w:type="dxa"/>
            </w:tcMar>
            <w:shd w:fill="005691"/>
          </w:tcPr>
          <w:p>
            <w:pPr>
              <w:spacing w:before="40" w:after="40"/>
            </w:pPr>
            <w:r>
              <w:rPr>
                <w:b/>
                <w:color w:val="FFFFFF"/>
                <w:sz w:val="19"/>
              </w:rPr>
              <w:t>Record Count</w:t>
            </w:r>
          </w:p>
        </w:tc>
        <w:tc>
          <w:tcPr>
            <w:tcW w:type="dxa" w:w="2340"/>
            <w:tcMar>
              <w:top w:w="100" w:type="dxa"/>
              <w:bottom w:w="100" w:type="dxa"/>
              <w:left w:w="150" w:type="dxa"/>
              <w:right w:w="150" w:type="dxa"/>
            </w:tcMar>
            <w:shd w:fill="005691"/>
          </w:tcPr>
          <w:p>
            <w:pPr>
              <w:spacing w:before="40" w:after="40"/>
            </w:pPr>
            <w:r>
              <w:rPr>
                <w:b/>
                <w:color w:val="FFFFFF"/>
                <w:sz w:val="19"/>
              </w:rPr>
              <w:t>Key Attributes</w:t>
            </w:r>
          </w:p>
        </w:tc>
      </w:tr>
      <w:tr>
        <w:tc>
          <w:tcPr>
            <w:tcW w:type="dxa" w:w="2340"/>
            <w:tcMar>
              <w:top w:w="100" w:type="dxa"/>
              <w:bottom w:w="100" w:type="dxa"/>
              <w:left w:w="150" w:type="dxa"/>
              <w:right w:w="150" w:type="dxa"/>
            </w:tcMar>
            <w:shd w:fill="FFFFFF"/>
          </w:tcPr>
          <w:p>
            <w:pPr>
              <w:spacing w:before="40" w:after="40"/>
            </w:pPr>
            <w:r>
              <w:rPr>
                <w:sz w:val="18"/>
              </w:rPr>
              <w:t>olist_orders_dataset.csv</w:t>
            </w:r>
          </w:p>
        </w:tc>
        <w:tc>
          <w:tcPr>
            <w:tcW w:type="dxa" w:w="2340"/>
            <w:tcMar>
              <w:top w:w="100" w:type="dxa"/>
              <w:bottom w:w="100" w:type="dxa"/>
              <w:left w:w="150" w:type="dxa"/>
              <w:right w:w="150" w:type="dxa"/>
            </w:tcMar>
            <w:shd w:fill="FFFFFF"/>
          </w:tcPr>
          <w:p>
            <w:pPr>
              <w:spacing w:before="40" w:after="40"/>
            </w:pPr>
            <w:r>
              <w:rPr>
                <w:sz w:val="18"/>
              </w:rPr>
              <w:t>Orders</w:t>
            </w:r>
          </w:p>
        </w:tc>
        <w:tc>
          <w:tcPr>
            <w:tcW w:type="dxa" w:w="2340"/>
            <w:tcMar>
              <w:top w:w="100" w:type="dxa"/>
              <w:bottom w:w="100" w:type="dxa"/>
              <w:left w:w="150" w:type="dxa"/>
              <w:right w:w="150" w:type="dxa"/>
            </w:tcMar>
            <w:shd w:fill="FFFFFF"/>
          </w:tcPr>
          <w:p>
            <w:pPr>
              <w:spacing w:before="40" w:after="40"/>
            </w:pPr>
            <w:r>
              <w:rPr>
                <w:sz w:val="18"/>
              </w:rPr>
              <w:t>99,441</w:t>
            </w:r>
          </w:p>
        </w:tc>
        <w:tc>
          <w:tcPr>
            <w:tcW w:type="dxa" w:w="2340"/>
            <w:tcMar>
              <w:top w:w="100" w:type="dxa"/>
              <w:bottom w:w="100" w:type="dxa"/>
              <w:left w:w="150" w:type="dxa"/>
              <w:right w:w="150" w:type="dxa"/>
            </w:tcMar>
            <w:shd w:fill="FFFFFF"/>
          </w:tcPr>
          <w:p>
            <w:pPr>
              <w:spacing w:before="40" w:after="40"/>
            </w:pPr>
            <w:r>
              <w:rPr>
                <w:sz w:val="18"/>
              </w:rPr>
              <w:t>order_id, customer_id, order_status, purchase/delivered timestamps</w:t>
            </w:r>
          </w:p>
        </w:tc>
      </w:tr>
      <w:tr>
        <w:tc>
          <w:tcPr>
            <w:tcW w:type="dxa" w:w="2340"/>
            <w:tcMar>
              <w:top w:w="100" w:type="dxa"/>
              <w:bottom w:w="100" w:type="dxa"/>
              <w:left w:w="150" w:type="dxa"/>
              <w:right w:w="150" w:type="dxa"/>
            </w:tcMar>
            <w:shd w:fill="F9FBFC"/>
          </w:tcPr>
          <w:p>
            <w:pPr>
              <w:spacing w:before="40" w:after="40"/>
            </w:pPr>
            <w:r>
              <w:rPr>
                <w:sz w:val="18"/>
              </w:rPr>
              <w:t>olist_order_items_dataset.csv</w:t>
            </w:r>
          </w:p>
        </w:tc>
        <w:tc>
          <w:tcPr>
            <w:tcW w:type="dxa" w:w="2340"/>
            <w:tcMar>
              <w:top w:w="100" w:type="dxa"/>
              <w:bottom w:w="100" w:type="dxa"/>
              <w:left w:w="150" w:type="dxa"/>
              <w:right w:w="150" w:type="dxa"/>
            </w:tcMar>
            <w:shd w:fill="F9FBFC"/>
          </w:tcPr>
          <w:p>
            <w:pPr>
              <w:spacing w:before="40" w:after="40"/>
            </w:pPr>
            <w:r>
              <w:rPr>
                <w:sz w:val="18"/>
              </w:rPr>
              <w:t>Order Items</w:t>
            </w:r>
          </w:p>
        </w:tc>
        <w:tc>
          <w:tcPr>
            <w:tcW w:type="dxa" w:w="2340"/>
            <w:tcMar>
              <w:top w:w="100" w:type="dxa"/>
              <w:bottom w:w="100" w:type="dxa"/>
              <w:left w:w="150" w:type="dxa"/>
              <w:right w:w="150" w:type="dxa"/>
            </w:tcMar>
            <w:shd w:fill="F9FBFC"/>
          </w:tcPr>
          <w:p>
            <w:pPr>
              <w:spacing w:before="40" w:after="40"/>
            </w:pPr>
            <w:r>
              <w:rPr>
                <w:sz w:val="18"/>
              </w:rPr>
              <w:t>112,650</w:t>
            </w:r>
          </w:p>
        </w:tc>
        <w:tc>
          <w:tcPr>
            <w:tcW w:type="dxa" w:w="2340"/>
            <w:tcMar>
              <w:top w:w="100" w:type="dxa"/>
              <w:bottom w:w="100" w:type="dxa"/>
              <w:left w:w="150" w:type="dxa"/>
              <w:right w:w="150" w:type="dxa"/>
            </w:tcMar>
            <w:shd w:fill="F9FBFC"/>
          </w:tcPr>
          <w:p>
            <w:pPr>
              <w:spacing w:before="40" w:after="40"/>
            </w:pPr>
            <w:r>
              <w:rPr>
                <w:sz w:val="18"/>
              </w:rPr>
              <w:t>order_id, order_item_id, product_id, seller_id, price, freight_value</w:t>
            </w:r>
          </w:p>
        </w:tc>
      </w:tr>
      <w:tr>
        <w:tc>
          <w:tcPr>
            <w:tcW w:type="dxa" w:w="2340"/>
            <w:tcMar>
              <w:top w:w="100" w:type="dxa"/>
              <w:bottom w:w="100" w:type="dxa"/>
              <w:left w:w="150" w:type="dxa"/>
              <w:right w:w="150" w:type="dxa"/>
            </w:tcMar>
            <w:shd w:fill="FFFFFF"/>
          </w:tcPr>
          <w:p>
            <w:pPr>
              <w:spacing w:before="40" w:after="40"/>
            </w:pPr>
            <w:r>
              <w:rPr>
                <w:sz w:val="18"/>
              </w:rPr>
              <w:t>olist_customers_dataset.csv</w:t>
            </w:r>
          </w:p>
        </w:tc>
        <w:tc>
          <w:tcPr>
            <w:tcW w:type="dxa" w:w="2340"/>
            <w:tcMar>
              <w:top w:w="100" w:type="dxa"/>
              <w:bottom w:w="100" w:type="dxa"/>
              <w:left w:w="150" w:type="dxa"/>
              <w:right w:w="150" w:type="dxa"/>
            </w:tcMar>
            <w:shd w:fill="FFFFFF"/>
          </w:tcPr>
          <w:p>
            <w:pPr>
              <w:spacing w:before="40" w:after="40"/>
            </w:pPr>
            <w:r>
              <w:rPr>
                <w:sz w:val="18"/>
              </w:rPr>
              <w:t>Customers</w:t>
            </w:r>
          </w:p>
        </w:tc>
        <w:tc>
          <w:tcPr>
            <w:tcW w:type="dxa" w:w="2340"/>
            <w:tcMar>
              <w:top w:w="100" w:type="dxa"/>
              <w:bottom w:w="100" w:type="dxa"/>
              <w:left w:w="150" w:type="dxa"/>
              <w:right w:w="150" w:type="dxa"/>
            </w:tcMar>
            <w:shd w:fill="FFFFFF"/>
          </w:tcPr>
          <w:p>
            <w:pPr>
              <w:spacing w:before="40" w:after="40"/>
            </w:pPr>
            <w:r>
              <w:rPr>
                <w:sz w:val="18"/>
              </w:rPr>
              <w:t>99,441</w:t>
            </w:r>
          </w:p>
        </w:tc>
        <w:tc>
          <w:tcPr>
            <w:tcW w:type="dxa" w:w="2340"/>
            <w:tcMar>
              <w:top w:w="100" w:type="dxa"/>
              <w:bottom w:w="100" w:type="dxa"/>
              <w:left w:w="150" w:type="dxa"/>
              <w:right w:w="150" w:type="dxa"/>
            </w:tcMar>
            <w:shd w:fill="FFFFFF"/>
          </w:tcPr>
          <w:p>
            <w:pPr>
              <w:spacing w:before="40" w:after="40"/>
            </w:pPr>
            <w:r>
              <w:rPr>
                <w:sz w:val="18"/>
              </w:rPr>
              <w:t>customer_id, customer_unique_id, zip_code, city, state</w:t>
            </w:r>
          </w:p>
        </w:tc>
      </w:tr>
      <w:tr>
        <w:tc>
          <w:tcPr>
            <w:tcW w:type="dxa" w:w="2340"/>
            <w:tcMar>
              <w:top w:w="100" w:type="dxa"/>
              <w:bottom w:w="100" w:type="dxa"/>
              <w:left w:w="150" w:type="dxa"/>
              <w:right w:w="150" w:type="dxa"/>
            </w:tcMar>
            <w:shd w:fill="F9FBFC"/>
          </w:tcPr>
          <w:p>
            <w:pPr>
              <w:spacing w:before="40" w:after="40"/>
            </w:pPr>
            <w:r>
              <w:rPr>
                <w:sz w:val="18"/>
              </w:rPr>
              <w:t>olist_products_dataset.csv</w:t>
            </w:r>
          </w:p>
        </w:tc>
        <w:tc>
          <w:tcPr>
            <w:tcW w:type="dxa" w:w="2340"/>
            <w:tcMar>
              <w:top w:w="100" w:type="dxa"/>
              <w:bottom w:w="100" w:type="dxa"/>
              <w:left w:w="150" w:type="dxa"/>
              <w:right w:w="150" w:type="dxa"/>
            </w:tcMar>
            <w:shd w:fill="F9FBFC"/>
          </w:tcPr>
          <w:p>
            <w:pPr>
              <w:spacing w:before="40" w:after="40"/>
            </w:pPr>
            <w:r>
              <w:rPr>
                <w:sz w:val="18"/>
              </w:rPr>
              <w:t>Products</w:t>
            </w:r>
          </w:p>
        </w:tc>
        <w:tc>
          <w:tcPr>
            <w:tcW w:type="dxa" w:w="2340"/>
            <w:tcMar>
              <w:top w:w="100" w:type="dxa"/>
              <w:bottom w:w="100" w:type="dxa"/>
              <w:left w:w="150" w:type="dxa"/>
              <w:right w:w="150" w:type="dxa"/>
            </w:tcMar>
            <w:shd w:fill="F9FBFC"/>
          </w:tcPr>
          <w:p>
            <w:pPr>
              <w:spacing w:before="40" w:after="40"/>
            </w:pPr>
            <w:r>
              <w:rPr>
                <w:sz w:val="18"/>
              </w:rPr>
              <w:t>32,951</w:t>
            </w:r>
          </w:p>
        </w:tc>
        <w:tc>
          <w:tcPr>
            <w:tcW w:type="dxa" w:w="2340"/>
            <w:tcMar>
              <w:top w:w="100" w:type="dxa"/>
              <w:bottom w:w="100" w:type="dxa"/>
              <w:left w:w="150" w:type="dxa"/>
              <w:right w:w="150" w:type="dxa"/>
            </w:tcMar>
            <w:shd w:fill="F9FBFC"/>
          </w:tcPr>
          <w:p>
            <w:pPr>
              <w:spacing w:before="40" w:after="40"/>
            </w:pPr>
            <w:r>
              <w:rPr>
                <w:sz w:val="18"/>
              </w:rPr>
              <w:t>product_id, category_name, weight_g, length_cm, height_cm, width_cm</w:t>
            </w:r>
          </w:p>
        </w:tc>
      </w:tr>
      <w:tr>
        <w:tc>
          <w:tcPr>
            <w:tcW w:type="dxa" w:w="2340"/>
            <w:tcMar>
              <w:top w:w="100" w:type="dxa"/>
              <w:bottom w:w="100" w:type="dxa"/>
              <w:left w:w="150" w:type="dxa"/>
              <w:right w:w="150" w:type="dxa"/>
            </w:tcMar>
            <w:shd w:fill="FFFFFF"/>
          </w:tcPr>
          <w:p>
            <w:pPr>
              <w:spacing w:before="40" w:after="40"/>
            </w:pPr>
            <w:r>
              <w:rPr>
                <w:sz w:val="18"/>
              </w:rPr>
              <w:t>olist_sellers_dataset.csv</w:t>
            </w:r>
          </w:p>
        </w:tc>
        <w:tc>
          <w:tcPr>
            <w:tcW w:type="dxa" w:w="2340"/>
            <w:tcMar>
              <w:top w:w="100" w:type="dxa"/>
              <w:bottom w:w="100" w:type="dxa"/>
              <w:left w:w="150" w:type="dxa"/>
              <w:right w:w="150" w:type="dxa"/>
            </w:tcMar>
            <w:shd w:fill="FFFFFF"/>
          </w:tcPr>
          <w:p>
            <w:pPr>
              <w:spacing w:before="40" w:after="40"/>
            </w:pPr>
            <w:r>
              <w:rPr>
                <w:sz w:val="18"/>
              </w:rPr>
              <w:t>Sellers</w:t>
            </w:r>
          </w:p>
        </w:tc>
        <w:tc>
          <w:tcPr>
            <w:tcW w:type="dxa" w:w="2340"/>
            <w:tcMar>
              <w:top w:w="100" w:type="dxa"/>
              <w:bottom w:w="100" w:type="dxa"/>
              <w:left w:w="150" w:type="dxa"/>
              <w:right w:w="150" w:type="dxa"/>
            </w:tcMar>
            <w:shd w:fill="FFFFFF"/>
          </w:tcPr>
          <w:p>
            <w:pPr>
              <w:spacing w:before="40" w:after="40"/>
            </w:pPr>
            <w:r>
              <w:rPr>
                <w:sz w:val="18"/>
              </w:rPr>
              <w:t>3,095</w:t>
            </w:r>
          </w:p>
        </w:tc>
        <w:tc>
          <w:tcPr>
            <w:tcW w:type="dxa" w:w="2340"/>
            <w:tcMar>
              <w:top w:w="100" w:type="dxa"/>
              <w:bottom w:w="100" w:type="dxa"/>
              <w:left w:w="150" w:type="dxa"/>
              <w:right w:w="150" w:type="dxa"/>
            </w:tcMar>
            <w:shd w:fill="FFFFFF"/>
          </w:tcPr>
          <w:p>
            <w:pPr>
              <w:spacing w:before="40" w:after="40"/>
            </w:pPr>
            <w:r>
              <w:rPr>
                <w:sz w:val="18"/>
              </w:rPr>
              <w:t>seller_id, zip_code, city, state</w:t>
            </w:r>
          </w:p>
        </w:tc>
      </w:tr>
      <w:tr>
        <w:tc>
          <w:tcPr>
            <w:tcW w:type="dxa" w:w="2340"/>
            <w:tcMar>
              <w:top w:w="100" w:type="dxa"/>
              <w:bottom w:w="100" w:type="dxa"/>
              <w:left w:w="150" w:type="dxa"/>
              <w:right w:w="150" w:type="dxa"/>
            </w:tcMar>
            <w:shd w:fill="F9FBFC"/>
          </w:tcPr>
          <w:p>
            <w:pPr>
              <w:spacing w:before="40" w:after="40"/>
            </w:pPr>
            <w:r>
              <w:rPr>
                <w:sz w:val="18"/>
              </w:rPr>
              <w:t>olist_order_payments_dataset.csv</w:t>
            </w:r>
          </w:p>
        </w:tc>
        <w:tc>
          <w:tcPr>
            <w:tcW w:type="dxa" w:w="2340"/>
            <w:tcMar>
              <w:top w:w="100" w:type="dxa"/>
              <w:bottom w:w="100" w:type="dxa"/>
              <w:left w:w="150" w:type="dxa"/>
              <w:right w:w="150" w:type="dxa"/>
            </w:tcMar>
            <w:shd w:fill="F9FBFC"/>
          </w:tcPr>
          <w:p>
            <w:pPr>
              <w:spacing w:before="40" w:after="40"/>
            </w:pPr>
            <w:r>
              <w:rPr>
                <w:sz w:val="18"/>
              </w:rPr>
              <w:t>Payments</w:t>
            </w:r>
          </w:p>
        </w:tc>
        <w:tc>
          <w:tcPr>
            <w:tcW w:type="dxa" w:w="2340"/>
            <w:tcMar>
              <w:top w:w="100" w:type="dxa"/>
              <w:bottom w:w="100" w:type="dxa"/>
              <w:left w:w="150" w:type="dxa"/>
              <w:right w:w="150" w:type="dxa"/>
            </w:tcMar>
            <w:shd w:fill="F9FBFC"/>
          </w:tcPr>
          <w:p>
            <w:pPr>
              <w:spacing w:before="40" w:after="40"/>
            </w:pPr>
            <w:r>
              <w:rPr>
                <w:sz w:val="18"/>
              </w:rPr>
              <w:t>103,886</w:t>
            </w:r>
          </w:p>
        </w:tc>
        <w:tc>
          <w:tcPr>
            <w:tcW w:type="dxa" w:w="2340"/>
            <w:tcMar>
              <w:top w:w="100" w:type="dxa"/>
              <w:bottom w:w="100" w:type="dxa"/>
              <w:left w:w="150" w:type="dxa"/>
              <w:right w:w="150" w:type="dxa"/>
            </w:tcMar>
            <w:shd w:fill="F9FBFC"/>
          </w:tcPr>
          <w:p>
            <w:pPr>
              <w:spacing w:before="40" w:after="40"/>
            </w:pPr>
            <w:r>
              <w:rPr>
                <w:sz w:val="18"/>
              </w:rPr>
              <w:t>order_id, payment_sequential, payment_type, installments, payment_value</w:t>
            </w:r>
          </w:p>
        </w:tc>
      </w:tr>
      <w:tr>
        <w:tc>
          <w:tcPr>
            <w:tcW w:type="dxa" w:w="2340"/>
            <w:tcMar>
              <w:top w:w="100" w:type="dxa"/>
              <w:bottom w:w="100" w:type="dxa"/>
              <w:left w:w="150" w:type="dxa"/>
              <w:right w:w="150" w:type="dxa"/>
            </w:tcMar>
            <w:shd w:fill="FFFFFF"/>
          </w:tcPr>
          <w:p>
            <w:pPr>
              <w:spacing w:before="40" w:after="40"/>
            </w:pPr>
            <w:r>
              <w:rPr>
                <w:sz w:val="18"/>
              </w:rPr>
              <w:t>olist_order_reviews_dataset.csv</w:t>
            </w:r>
          </w:p>
        </w:tc>
        <w:tc>
          <w:tcPr>
            <w:tcW w:type="dxa" w:w="2340"/>
            <w:tcMar>
              <w:top w:w="100" w:type="dxa"/>
              <w:bottom w:w="100" w:type="dxa"/>
              <w:left w:w="150" w:type="dxa"/>
              <w:right w:w="150" w:type="dxa"/>
            </w:tcMar>
            <w:shd w:fill="FFFFFF"/>
          </w:tcPr>
          <w:p>
            <w:pPr>
              <w:spacing w:before="40" w:after="40"/>
            </w:pPr>
            <w:r>
              <w:rPr>
                <w:sz w:val="18"/>
              </w:rPr>
              <w:t>Reviews</w:t>
            </w:r>
          </w:p>
        </w:tc>
        <w:tc>
          <w:tcPr>
            <w:tcW w:type="dxa" w:w="2340"/>
            <w:tcMar>
              <w:top w:w="100" w:type="dxa"/>
              <w:bottom w:w="100" w:type="dxa"/>
              <w:left w:w="150" w:type="dxa"/>
              <w:right w:w="150" w:type="dxa"/>
            </w:tcMar>
            <w:shd w:fill="FFFFFF"/>
          </w:tcPr>
          <w:p>
            <w:pPr>
              <w:spacing w:before="40" w:after="40"/>
            </w:pPr>
            <w:r>
              <w:rPr>
                <w:sz w:val="18"/>
              </w:rPr>
              <w:t>99,224</w:t>
            </w:r>
          </w:p>
        </w:tc>
        <w:tc>
          <w:tcPr>
            <w:tcW w:type="dxa" w:w="2340"/>
            <w:tcMar>
              <w:top w:w="100" w:type="dxa"/>
              <w:bottom w:w="100" w:type="dxa"/>
              <w:left w:w="150" w:type="dxa"/>
              <w:right w:w="150" w:type="dxa"/>
            </w:tcMar>
            <w:shd w:fill="FFFFFF"/>
          </w:tcPr>
          <w:p>
            <w:pPr>
              <w:spacing w:before="40" w:after="40"/>
            </w:pPr>
            <w:r>
              <w:rPr>
                <w:sz w:val="18"/>
              </w:rPr>
              <w:t>review_id, order_id, review_score (1-5), review_comment_message</w:t>
            </w:r>
          </w:p>
        </w:tc>
      </w:tr>
      <w:tr>
        <w:tc>
          <w:tcPr>
            <w:tcW w:type="dxa" w:w="2340"/>
            <w:tcMar>
              <w:top w:w="100" w:type="dxa"/>
              <w:bottom w:w="100" w:type="dxa"/>
              <w:left w:w="150" w:type="dxa"/>
              <w:right w:w="150" w:type="dxa"/>
            </w:tcMar>
            <w:shd w:fill="F9FBFC"/>
          </w:tcPr>
          <w:p>
            <w:pPr>
              <w:spacing w:before="40" w:after="40"/>
            </w:pPr>
            <w:r>
              <w:rPr>
                <w:sz w:val="18"/>
              </w:rPr>
              <w:t>olist_geolocation_dataset.csv</w:t>
            </w:r>
          </w:p>
        </w:tc>
        <w:tc>
          <w:tcPr>
            <w:tcW w:type="dxa" w:w="2340"/>
            <w:tcMar>
              <w:top w:w="100" w:type="dxa"/>
              <w:bottom w:w="100" w:type="dxa"/>
              <w:left w:w="150" w:type="dxa"/>
              <w:right w:w="150" w:type="dxa"/>
            </w:tcMar>
            <w:shd w:fill="F9FBFC"/>
          </w:tcPr>
          <w:p>
            <w:pPr>
              <w:spacing w:before="40" w:after="40"/>
            </w:pPr>
            <w:r>
              <w:rPr>
                <w:sz w:val="18"/>
              </w:rPr>
              <w:t>Coordinates</w:t>
            </w:r>
          </w:p>
        </w:tc>
        <w:tc>
          <w:tcPr>
            <w:tcW w:type="dxa" w:w="2340"/>
            <w:tcMar>
              <w:top w:w="100" w:type="dxa"/>
              <w:bottom w:w="100" w:type="dxa"/>
              <w:left w:w="150" w:type="dxa"/>
              <w:right w:w="150" w:type="dxa"/>
            </w:tcMar>
            <w:shd w:fill="F9FBFC"/>
          </w:tcPr>
          <w:p>
            <w:pPr>
              <w:spacing w:before="40" w:after="40"/>
            </w:pPr>
            <w:r>
              <w:rPr>
                <w:sz w:val="18"/>
              </w:rPr>
              <w:t>1,000,163</w:t>
            </w:r>
          </w:p>
        </w:tc>
        <w:tc>
          <w:tcPr>
            <w:tcW w:type="dxa" w:w="2340"/>
            <w:tcMar>
              <w:top w:w="100" w:type="dxa"/>
              <w:bottom w:w="100" w:type="dxa"/>
              <w:left w:w="150" w:type="dxa"/>
              <w:right w:w="150" w:type="dxa"/>
            </w:tcMar>
            <w:shd w:fill="F9FBFC"/>
          </w:tcPr>
          <w:p>
            <w:pPr>
              <w:spacing w:before="40" w:after="40"/>
            </w:pPr>
            <w:r>
              <w:rPr>
                <w:sz w:val="18"/>
              </w:rPr>
              <w:t>zip_prefix, lat, lng, city, state</w:t>
            </w:r>
          </w:p>
        </w:tc>
      </w:tr>
      <w:tr>
        <w:tc>
          <w:tcPr>
            <w:tcW w:type="dxa" w:w="2340"/>
            <w:tcMar>
              <w:top w:w="100" w:type="dxa"/>
              <w:bottom w:w="100" w:type="dxa"/>
              <w:left w:w="150" w:type="dxa"/>
              <w:right w:w="150" w:type="dxa"/>
            </w:tcMar>
            <w:shd w:fill="FFFFFF"/>
          </w:tcPr>
          <w:p>
            <w:pPr>
              <w:spacing w:before="40" w:after="40"/>
            </w:pPr>
            <w:r>
              <w:rPr>
                <w:sz w:val="18"/>
              </w:rPr>
              <w:t>product_category_name_translation.csv</w:t>
            </w:r>
          </w:p>
        </w:tc>
        <w:tc>
          <w:tcPr>
            <w:tcW w:type="dxa" w:w="2340"/>
            <w:tcMar>
              <w:top w:w="100" w:type="dxa"/>
              <w:bottom w:w="100" w:type="dxa"/>
              <w:left w:w="150" w:type="dxa"/>
              <w:right w:w="150" w:type="dxa"/>
            </w:tcMar>
            <w:shd w:fill="FFFFFF"/>
          </w:tcPr>
          <w:p>
            <w:pPr>
              <w:spacing w:before="40" w:after="40"/>
            </w:pPr>
            <w:r>
              <w:rPr>
                <w:sz w:val="18"/>
              </w:rPr>
              <w:t>Taxonomy</w:t>
            </w:r>
          </w:p>
        </w:tc>
        <w:tc>
          <w:tcPr>
            <w:tcW w:type="dxa" w:w="2340"/>
            <w:tcMar>
              <w:top w:w="100" w:type="dxa"/>
              <w:bottom w:w="100" w:type="dxa"/>
              <w:left w:w="150" w:type="dxa"/>
              <w:right w:w="150" w:type="dxa"/>
            </w:tcMar>
            <w:shd w:fill="FFFFFF"/>
          </w:tcPr>
          <w:p>
            <w:pPr>
              <w:spacing w:before="40" w:after="40"/>
            </w:pPr>
            <w:r>
              <w:rPr>
                <w:sz w:val="18"/>
              </w:rPr>
              <w:t>71</w:t>
            </w:r>
          </w:p>
        </w:tc>
        <w:tc>
          <w:tcPr>
            <w:tcW w:type="dxa" w:w="2340"/>
            <w:tcMar>
              <w:top w:w="100" w:type="dxa"/>
              <w:bottom w:w="100" w:type="dxa"/>
              <w:left w:w="150" w:type="dxa"/>
              <w:right w:w="150" w:type="dxa"/>
            </w:tcMar>
            <w:shd w:fill="FFFFFF"/>
          </w:tcPr>
          <w:p>
            <w:pPr>
              <w:spacing w:before="40" w:after="40"/>
            </w:pPr>
            <w:r>
              <w:rPr>
                <w:sz w:val="18"/>
              </w:rPr>
              <w:t>product_category_name (Portuguese &amp; English)</w:t>
            </w:r>
          </w:p>
        </w:tc>
      </w:tr>
    </w:tbl>
    <w:p>
      <w:pPr>
        <w:pStyle w:val="Heading2"/>
      </w:pPr>
      <w:r>
        <w:t>1.4 Suitability for Dimensional Modeling</w:t>
      </w:r>
    </w:p>
    <w:p>
      <w:r>
        <w:t>1. OLTP Architecture: Real-world 3NF data capturing orders, line items, reviews, and installments.</w:t>
        <w:br/>
        <w:t>2. High Granularity: 112,650 line-item rows provide genuine analytical volume for drill-down and slicing.</w:t>
        <w:br/>
        <w:t>3. Natural Dimensional Conformation: Naturally relates to temporal, geographic, merchant, and product entities.</w:t>
        <w:br/>
        <w:t>4. Real-world Data Quality Challenges: Includes multi-point coordinates, untranslated terms, and variable freight charges.</w:t>
      </w:r>
    </w:p>
    <w:p>
      <w:pPr>
        <w:pStyle w:val="Heading1"/>
      </w:pPr>
      <w:r>
        <w:t>Task 2: Data Source Identification and Preparation</w:t>
      </w:r>
    </w:p>
    <w:p>
      <w:pPr>
        <w:pStyle w:val="Heading2"/>
      </w:pPr>
      <w:r>
        <w:t>2.1 Multi-Source Integration (3 Heterogeneous Types)</w:t>
      </w:r>
    </w:p>
    <w:p>
      <w:r>
        <w:t>To satisfy Task 2's requirement for multiple source types, three distinct input mechanisms were unified into the staging area:</w:t>
        <w:br/>
        <w:t>• Source Type 1 (Flat Files): 9 CSV operational extracts provided as delimited UTF-8 files.</w:t>
        <w:br/>
        <w:t>• Source Type 2 (Relational DB): Loaded into SQL Server relational staging tables (stg.*) with PK/FK indexes representing the operational transactional store.</w:t>
        <w:br/>
        <w:t>• Source Type 3 (External Web REST API): Frankfurter Currency API (https://api.frankfurter.app) queried for daily BRL-&gt;USD conversion rates across all 634 unique order dates.</w:t>
      </w:r>
    </w:p>
    <w:p>
      <w:pPr>
        <w:pStyle w:val="Heading2"/>
      </w:pPr>
      <w:r>
        <w:t>2.2 Data Cleansing and Preparation Procedures</w:t>
      </w:r>
    </w:p>
    <w:p>
      <w:r>
        <w:t>• String Normalization: Casing discrepancies and trailing whitespace in city and category attributes were standardized using Title Case.</w:t>
        <w:br/>
        <w:t>• Category Bilingual Join: Portuguese taxonomy was joined with English translation tables to generate readable category hierarchies.</w:t>
        <w:br/>
        <w:t>• Geolocation Centroid Averaging: Over 1 million GPS coordinate rows were condensed into 19,015 unique zip code centroids using arithmetic mean aggregation (AVG(lat), AVG(lng)).</w:t>
        <w:br/>
        <w:t>• Review Deduplication: Window ranking partitioned by order_id retained only the primary customer rating per order.</w:t>
        <w:br/>
        <w:t>• Exchange Rate Calendar Alignment: Weekend and holiday currency rate gaps were forward-filled from the prior active business day.</w:t>
      </w:r>
    </w:p>
    <w:p>
      <w:pPr>
        <w:pStyle w:val="Heading1"/>
      </w:pPr>
      <w:r>
        <w:t>Task 3: Data Warehouse Architecture Design</w:t>
      </w:r>
    </w:p>
    <w:p>
      <w:r>
        <w:t>The architecture implements a standard 5-layer enterprise data warehousing framework based on Kimball dimensional methodologies: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200" w:type="dxa"/>
              <w:right w:w="200" w:type="dxa"/>
            </w:tcMar>
            <w:tcBorders>
              <w:left w:val="single" w:sz="24" w:space="0" w:color="005691"/>
              <w:top w:val="none"/>
              <w:right w:val="none"/>
              <w:bottom w:val="none"/>
            </w:tcBorders>
          </w:tcPr>
          <w:p>
            <w:pPr>
              <w:spacing w:before="80" w:after="80"/>
            </w:pPr>
            <w:r>
              <w:rPr>
                <w:b/>
                <w:color w:val="005691"/>
              </w:rPr>
              <w:t xml:space="preserve">[ARCHITECTURAL DIAGRAM] </w:t>
            </w:r>
            <w:r>
              <w:rPr>
                <w:sz w:val="20"/>
              </w:rPr>
              <w:t>The full visual architecture diagram and star schema diagram are available in docs/architecture_diagram.drawio and can be opened in the installed draw.io application.</w:t>
            </w:r>
          </w:p>
        </w:tc>
      </w:tr>
    </w:tbl>
    <w:p>
      <w:pPr>
        <w:spacing w:after="80"/>
      </w:pP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005691"/>
          </w:tcPr>
          <w:p>
            <w:pPr>
              <w:spacing w:before="40" w:after="40"/>
            </w:pPr>
            <w:r>
              <w:rPr>
                <w:b/>
                <w:color w:val="FFFFFF"/>
                <w:sz w:val="19"/>
              </w:rPr>
              <w:t>Layer</w:t>
            </w:r>
          </w:p>
        </w:tc>
        <w:tc>
          <w:tcPr>
            <w:tcW w:type="dxa" w:w="3120"/>
            <w:tcMar>
              <w:top w:w="100" w:type="dxa"/>
              <w:bottom w:w="100" w:type="dxa"/>
              <w:left w:w="150" w:type="dxa"/>
              <w:right w:w="150" w:type="dxa"/>
            </w:tcMar>
            <w:shd w:fill="005691"/>
          </w:tcPr>
          <w:p>
            <w:pPr>
              <w:spacing w:before="40" w:after="40"/>
            </w:pPr>
            <w:r>
              <w:rPr>
                <w:b/>
                <w:color w:val="FFFFFF"/>
                <w:sz w:val="19"/>
              </w:rPr>
              <w:t>Components &amp; Technologies</w:t>
            </w:r>
          </w:p>
        </w:tc>
        <w:tc>
          <w:tcPr>
            <w:tcW w:type="dxa" w:w="3120"/>
            <w:tcMar>
              <w:top w:w="100" w:type="dxa"/>
              <w:bottom w:w="100" w:type="dxa"/>
              <w:left w:w="150" w:type="dxa"/>
              <w:right w:w="150" w:type="dxa"/>
            </w:tcMar>
            <w:shd w:fill="005691"/>
          </w:tcPr>
          <w:p>
            <w:pPr>
              <w:spacing w:before="40" w:after="40"/>
            </w:pPr>
            <w:r>
              <w:rPr>
                <w:b/>
                <w:color w:val="FFFFFF"/>
                <w:sz w:val="19"/>
              </w:rPr>
              <w:t>Functional Role</w:t>
            </w:r>
          </w:p>
        </w:tc>
      </w:tr>
      <w:tr>
        <w:tc>
          <w:tcPr>
            <w:tcW w:type="dxa" w:w="3120"/>
            <w:tcMar>
              <w:top w:w="100" w:type="dxa"/>
              <w:bottom w:w="100" w:type="dxa"/>
              <w:left w:w="150" w:type="dxa"/>
              <w:right w:w="150" w:type="dxa"/>
            </w:tcMar>
            <w:shd w:fill="FFFFFF"/>
          </w:tcPr>
          <w:p>
            <w:pPr>
              <w:spacing w:before="40" w:after="40"/>
            </w:pPr>
            <w:r>
              <w:rPr>
                <w:sz w:val="18"/>
              </w:rPr>
              <w:t>1. Source Layer</w:t>
            </w:r>
          </w:p>
        </w:tc>
        <w:tc>
          <w:tcPr>
            <w:tcW w:type="dxa" w:w="3120"/>
            <w:tcMar>
              <w:top w:w="100" w:type="dxa"/>
              <w:bottom w:w="100" w:type="dxa"/>
              <w:left w:w="150" w:type="dxa"/>
              <w:right w:w="150" w:type="dxa"/>
            </w:tcMar>
            <w:shd w:fill="FFFFFF"/>
          </w:tcPr>
          <w:p>
            <w:pPr>
              <w:spacing w:before="40" w:after="40"/>
            </w:pPr>
            <w:r>
              <w:rPr>
                <w:sz w:val="18"/>
              </w:rPr>
              <w:t>9 CSV flat files, SQL Server OLTP mirror, Frankfurter REST API</w:t>
            </w:r>
          </w:p>
        </w:tc>
        <w:tc>
          <w:tcPr>
            <w:tcW w:type="dxa" w:w="3120"/>
            <w:tcMar>
              <w:top w:w="100" w:type="dxa"/>
              <w:bottom w:w="100" w:type="dxa"/>
              <w:left w:w="150" w:type="dxa"/>
              <w:right w:w="150" w:type="dxa"/>
            </w:tcMar>
            <w:shd w:fill="FFFFFF"/>
          </w:tcPr>
          <w:p>
            <w:pPr>
              <w:spacing w:before="40" w:after="40"/>
            </w:pPr>
            <w:r>
              <w:rPr>
                <w:sz w:val="18"/>
              </w:rPr>
              <w:t>Captures raw operational business transactions and external currency data.</w:t>
            </w:r>
          </w:p>
        </w:tc>
      </w:tr>
      <w:tr>
        <w:tc>
          <w:tcPr>
            <w:tcW w:type="dxa" w:w="3120"/>
            <w:tcMar>
              <w:top w:w="100" w:type="dxa"/>
              <w:bottom w:w="100" w:type="dxa"/>
              <w:left w:w="150" w:type="dxa"/>
              <w:right w:w="150" w:type="dxa"/>
            </w:tcMar>
            <w:shd w:fill="F9FBFC"/>
          </w:tcPr>
          <w:p>
            <w:pPr>
              <w:spacing w:before="40" w:after="40"/>
            </w:pPr>
            <w:r>
              <w:rPr>
                <w:sz w:val="18"/>
              </w:rPr>
              <w:t>2. Integration Layer</w:t>
            </w:r>
          </w:p>
        </w:tc>
        <w:tc>
          <w:tcPr>
            <w:tcW w:type="dxa" w:w="3120"/>
            <w:tcMar>
              <w:top w:w="100" w:type="dxa"/>
              <w:bottom w:w="100" w:type="dxa"/>
              <w:left w:w="150" w:type="dxa"/>
              <w:right w:w="150" w:type="dxa"/>
            </w:tcMar>
            <w:shd w:fill="F9FBFC"/>
          </w:tcPr>
          <w:p>
            <w:pPr>
              <w:spacing w:before="40" w:after="40"/>
            </w:pPr>
            <w:r>
              <w:rPr>
                <w:sz w:val="18"/>
              </w:rPr>
              <w:t>Python pyodbc fast_executemany / SSIS PKG_01-PKG_03, dw.etl_run_log</w:t>
            </w:r>
          </w:p>
        </w:tc>
        <w:tc>
          <w:tcPr>
            <w:tcW w:type="dxa" w:w="3120"/>
            <w:tcMar>
              <w:top w:w="100" w:type="dxa"/>
              <w:bottom w:w="100" w:type="dxa"/>
              <w:left w:w="150" w:type="dxa"/>
              <w:right w:w="150" w:type="dxa"/>
            </w:tcMar>
            <w:shd w:fill="F9FBFC"/>
          </w:tcPr>
          <w:p>
            <w:pPr>
              <w:spacing w:before="40" w:after="40"/>
            </w:pPr>
            <w:r>
              <w:rPr>
                <w:sz w:val="18"/>
              </w:rPr>
              <w:t>Extracts, transforms, standardizes, enriches, and reconciles incoming feeds.</w:t>
            </w:r>
          </w:p>
        </w:tc>
      </w:tr>
      <w:tr>
        <w:tc>
          <w:tcPr>
            <w:tcW w:type="dxa" w:w="3120"/>
            <w:tcMar>
              <w:top w:w="100" w:type="dxa"/>
              <w:bottom w:w="100" w:type="dxa"/>
              <w:left w:w="150" w:type="dxa"/>
              <w:right w:w="150" w:type="dxa"/>
            </w:tcMar>
            <w:shd w:fill="FFFFFF"/>
          </w:tcPr>
          <w:p>
            <w:pPr>
              <w:spacing w:before="40" w:after="40"/>
            </w:pPr>
            <w:r>
              <w:rPr>
                <w:sz w:val="18"/>
              </w:rPr>
              <w:t>3. Storage Layer</w:t>
            </w:r>
          </w:p>
        </w:tc>
        <w:tc>
          <w:tcPr>
            <w:tcW w:type="dxa" w:w="3120"/>
            <w:tcMar>
              <w:top w:w="100" w:type="dxa"/>
              <w:bottom w:w="100" w:type="dxa"/>
              <w:left w:w="150" w:type="dxa"/>
              <w:right w:w="150" w:type="dxa"/>
            </w:tcMar>
            <w:shd w:fill="FFFFFF"/>
          </w:tcPr>
          <w:p>
            <w:pPr>
              <w:spacing w:before="40" w:after="40"/>
            </w:pPr>
            <w:r>
              <w:rPr>
                <w:sz w:val="18"/>
              </w:rPr>
              <w:t>SQL Server 2025 (stg.* staging schema, dw.* Star Schema, data mart views)</w:t>
            </w:r>
          </w:p>
        </w:tc>
        <w:tc>
          <w:tcPr>
            <w:tcW w:type="dxa" w:w="3120"/>
            <w:tcMar>
              <w:top w:w="100" w:type="dxa"/>
              <w:bottom w:w="100" w:type="dxa"/>
              <w:left w:w="150" w:type="dxa"/>
              <w:right w:w="150" w:type="dxa"/>
            </w:tcMar>
            <w:shd w:fill="FFFFFF"/>
          </w:tcPr>
          <w:p>
            <w:pPr>
              <w:spacing w:before="40" w:after="40"/>
            </w:pPr>
            <w:r>
              <w:rPr>
                <w:sz w:val="18"/>
              </w:rPr>
              <w:t>Persistent, ACID-compliant enterprise storage with surrogate keys and referential integrity.</w:t>
            </w:r>
          </w:p>
        </w:tc>
      </w:tr>
      <w:tr>
        <w:tc>
          <w:tcPr>
            <w:tcW w:type="dxa" w:w="3120"/>
            <w:tcMar>
              <w:top w:w="100" w:type="dxa"/>
              <w:bottom w:w="100" w:type="dxa"/>
              <w:left w:w="150" w:type="dxa"/>
              <w:right w:w="150" w:type="dxa"/>
            </w:tcMar>
            <w:shd w:fill="F9FBFC"/>
          </w:tcPr>
          <w:p>
            <w:pPr>
              <w:spacing w:before="40" w:after="40"/>
            </w:pPr>
            <w:r>
              <w:rPr>
                <w:sz w:val="18"/>
              </w:rPr>
              <w:t>4. Semantic / OLAP Layer</w:t>
            </w:r>
          </w:p>
        </w:tc>
        <w:tc>
          <w:tcPr>
            <w:tcW w:type="dxa" w:w="3120"/>
            <w:tcMar>
              <w:top w:w="100" w:type="dxa"/>
              <w:bottom w:w="100" w:type="dxa"/>
              <w:left w:w="150" w:type="dxa"/>
              <w:right w:w="150" w:type="dxa"/>
            </w:tcMar>
            <w:shd w:fill="F9FBFC"/>
          </w:tcPr>
          <w:p>
            <w:pPr>
              <w:spacing w:before="40" w:after="40"/>
            </w:pPr>
            <w:r>
              <w:rPr>
                <w:sz w:val="18"/>
              </w:rPr>
              <w:t>SSAS Tabular Model (Compatibility Level 1600), 17 DAX measures, hierarchies</w:t>
            </w:r>
          </w:p>
        </w:tc>
        <w:tc>
          <w:tcPr>
            <w:tcW w:type="dxa" w:w="3120"/>
            <w:tcMar>
              <w:top w:w="100" w:type="dxa"/>
              <w:bottom w:w="100" w:type="dxa"/>
              <w:left w:w="150" w:type="dxa"/>
              <w:right w:w="150" w:type="dxa"/>
            </w:tcMar>
            <w:shd w:fill="F9FBFC"/>
          </w:tcPr>
          <w:p>
            <w:pPr>
              <w:spacing w:before="40" w:after="40"/>
            </w:pPr>
            <w:r>
              <w:rPr>
                <w:sz w:val="18"/>
              </w:rPr>
              <w:t>In-memory VertiPaq engine providing rapid DAX measure computation and dimensional navigation.</w:t>
            </w:r>
          </w:p>
        </w:tc>
      </w:tr>
      <w:tr>
        <w:tc>
          <w:tcPr>
            <w:tcW w:type="dxa" w:w="3120"/>
            <w:tcMar>
              <w:top w:w="100" w:type="dxa"/>
              <w:bottom w:w="100" w:type="dxa"/>
              <w:left w:w="150" w:type="dxa"/>
              <w:right w:w="150" w:type="dxa"/>
            </w:tcMar>
            <w:shd w:fill="FFFFFF"/>
          </w:tcPr>
          <w:p>
            <w:pPr>
              <w:spacing w:before="40" w:after="40"/>
            </w:pPr>
            <w:r>
              <w:rPr>
                <w:sz w:val="18"/>
              </w:rPr>
              <w:t>5. Presentation Layer</w:t>
            </w:r>
          </w:p>
        </w:tc>
        <w:tc>
          <w:tcPr>
            <w:tcW w:type="dxa" w:w="3120"/>
            <w:tcMar>
              <w:top w:w="100" w:type="dxa"/>
              <w:bottom w:w="100" w:type="dxa"/>
              <w:left w:w="150" w:type="dxa"/>
              <w:right w:w="150" w:type="dxa"/>
            </w:tcMar>
            <w:shd w:fill="FFFFFF"/>
          </w:tcPr>
          <w:p>
            <w:pPr>
              <w:spacing w:before="40" w:after="40"/>
            </w:pPr>
            <w:r>
              <w:rPr>
                <w:sz w:val="18"/>
              </w:rPr>
              <w:t>Power BI Desktop (DirectQuery &amp; Import pbids), 3 analytical dashboard pages</w:t>
            </w:r>
          </w:p>
        </w:tc>
        <w:tc>
          <w:tcPr>
            <w:tcW w:type="dxa" w:w="3120"/>
            <w:tcMar>
              <w:top w:w="100" w:type="dxa"/>
              <w:bottom w:w="100" w:type="dxa"/>
              <w:left w:w="150" w:type="dxa"/>
              <w:right w:w="150" w:type="dxa"/>
            </w:tcMar>
            <w:shd w:fill="FFFFFF"/>
          </w:tcPr>
          <w:p>
            <w:pPr>
              <w:spacing w:before="40" w:after="40"/>
            </w:pPr>
            <w:r>
              <w:rPr>
                <w:sz w:val="18"/>
              </w:rPr>
              <w:t>Executive dashboards, trend lines, category rankings, and interactive geographic drill-down.</w:t>
            </w:r>
          </w:p>
        </w:tc>
      </w:tr>
    </w:tbl>
    <w:p>
      <w:r>
        <w:br w:type="page"/>
      </w:r>
    </w:p>
    <w:p>
      <w:pPr>
        <w:pStyle w:val="Heading1"/>
      </w:pPr>
      <w:r>
        <w:t>Task 4: Dimensional Data Warehouse Design and Implementation</w:t>
      </w:r>
    </w:p>
    <w:p>
      <w:pPr>
        <w:pStyle w:val="Heading2"/>
      </w:pPr>
      <w:r>
        <w:t>4.1 Grain and Fact Table Architecture</w:t>
      </w:r>
    </w:p>
    <w:p>
      <w:r>
        <w:t>• Business Process: Marketplace item ordering and shipment fulfillment.</w:t>
        <w:br/>
        <w:t>• Grain: One row per order line item (order_id + order_item_id).</w:t>
        <w:br/>
        <w:t>• Surrogate Key: order_item_key (INT IDENTITY(1,1) PRIMARY KEY).</w:t>
        <w:br/>
        <w:t>• Additive Measures: price_brl, price_usd, freight_value, payment_value.</w:t>
        <w:br/>
        <w:t>• Semi-Additive / Ordinal Measures: review_score (1-5), delivery_delay_days (transit variance).</w:t>
        <w:br/>
        <w:t>• Degenerate Dimensions: order_id, order_item_id, order_status, payment_type.</w:t>
      </w:r>
    </w:p>
    <w:p>
      <w:pPr>
        <w:pStyle w:val="Heading2"/>
      </w:pPr>
      <w:r>
        <w:t>4.2 Conformed Dimension Tables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005691"/>
          </w:tcPr>
          <w:p>
            <w:pPr>
              <w:spacing w:before="40" w:after="40"/>
            </w:pPr>
            <w:r>
              <w:rPr>
                <w:b/>
                <w:color w:val="FFFFFF"/>
                <w:sz w:val="19"/>
              </w:rPr>
              <w:t>Dimension Table</w:t>
            </w:r>
          </w:p>
        </w:tc>
        <w:tc>
          <w:tcPr>
            <w:tcW w:type="dxa" w:w="2340"/>
            <w:tcMar>
              <w:top w:w="100" w:type="dxa"/>
              <w:bottom w:w="100" w:type="dxa"/>
              <w:left w:w="150" w:type="dxa"/>
              <w:right w:w="150" w:type="dxa"/>
            </w:tcMar>
            <w:shd w:fill="005691"/>
          </w:tcPr>
          <w:p>
            <w:pPr>
              <w:spacing w:before="40" w:after="40"/>
            </w:pPr>
            <w:r>
              <w:rPr>
                <w:b/>
                <w:color w:val="FFFFFF"/>
                <w:sz w:val="19"/>
              </w:rPr>
              <w:t>Surrogate PK</w:t>
            </w:r>
          </w:p>
        </w:tc>
        <w:tc>
          <w:tcPr>
            <w:tcW w:type="dxa" w:w="2340"/>
            <w:tcMar>
              <w:top w:w="100" w:type="dxa"/>
              <w:bottom w:w="100" w:type="dxa"/>
              <w:left w:w="150" w:type="dxa"/>
              <w:right w:w="150" w:type="dxa"/>
            </w:tcMar>
            <w:shd w:fill="005691"/>
          </w:tcPr>
          <w:p>
            <w:pPr>
              <w:spacing w:before="40" w:after="40"/>
            </w:pPr>
            <w:r>
              <w:rPr>
                <w:b/>
                <w:color w:val="FFFFFF"/>
                <w:sz w:val="19"/>
              </w:rPr>
              <w:t>Row Count</w:t>
            </w:r>
          </w:p>
        </w:tc>
        <w:tc>
          <w:tcPr>
            <w:tcW w:type="dxa" w:w="2340"/>
            <w:tcMar>
              <w:top w:w="100" w:type="dxa"/>
              <w:bottom w:w="100" w:type="dxa"/>
              <w:left w:w="150" w:type="dxa"/>
              <w:right w:w="150" w:type="dxa"/>
            </w:tcMar>
            <w:shd w:fill="005691"/>
          </w:tcPr>
          <w:p>
            <w:pPr>
              <w:spacing w:before="40" w:after="40"/>
            </w:pPr>
            <w:r>
              <w:rPr>
                <w:b/>
                <w:color w:val="FFFFFF"/>
                <w:sz w:val="19"/>
              </w:rPr>
              <w:t>Hierarchies / Core Attributes</w:t>
            </w:r>
          </w:p>
        </w:tc>
      </w:tr>
      <w:tr>
        <w:tc>
          <w:tcPr>
            <w:tcW w:type="dxa" w:w="2340"/>
            <w:tcMar>
              <w:top w:w="100" w:type="dxa"/>
              <w:bottom w:w="100" w:type="dxa"/>
              <w:left w:w="150" w:type="dxa"/>
              <w:right w:w="150" w:type="dxa"/>
            </w:tcMar>
            <w:shd w:fill="FFFFFF"/>
          </w:tcPr>
          <w:p>
            <w:pPr>
              <w:spacing w:before="40" w:after="40"/>
            </w:pPr>
            <w:r>
              <w:rPr>
                <w:sz w:val="18"/>
              </w:rPr>
              <w:t>dw.dim_customer</w:t>
            </w:r>
          </w:p>
        </w:tc>
        <w:tc>
          <w:tcPr>
            <w:tcW w:type="dxa" w:w="2340"/>
            <w:tcMar>
              <w:top w:w="100" w:type="dxa"/>
              <w:bottom w:w="100" w:type="dxa"/>
              <w:left w:w="150" w:type="dxa"/>
              <w:right w:w="150" w:type="dxa"/>
            </w:tcMar>
            <w:shd w:fill="FFFFFF"/>
          </w:tcPr>
          <w:p>
            <w:pPr>
              <w:spacing w:before="40" w:after="40"/>
            </w:pPr>
            <w:r>
              <w:rPr>
                <w:sz w:val="18"/>
              </w:rPr>
              <w:t>customer_key</w:t>
            </w:r>
          </w:p>
        </w:tc>
        <w:tc>
          <w:tcPr>
            <w:tcW w:type="dxa" w:w="2340"/>
            <w:tcMar>
              <w:top w:w="100" w:type="dxa"/>
              <w:bottom w:w="100" w:type="dxa"/>
              <w:left w:w="150" w:type="dxa"/>
              <w:right w:w="150" w:type="dxa"/>
            </w:tcMar>
            <w:shd w:fill="FFFFFF"/>
          </w:tcPr>
          <w:p>
            <w:pPr>
              <w:spacing w:before="40" w:after="40"/>
            </w:pPr>
            <w:r>
              <w:rPr>
                <w:sz w:val="18"/>
              </w:rPr>
              <w:t>99,441</w:t>
            </w:r>
          </w:p>
        </w:tc>
        <w:tc>
          <w:tcPr>
            <w:tcW w:type="dxa" w:w="2340"/>
            <w:tcMar>
              <w:top w:w="100" w:type="dxa"/>
              <w:bottom w:w="100" w:type="dxa"/>
              <w:left w:w="150" w:type="dxa"/>
              <w:right w:w="150" w:type="dxa"/>
            </w:tcMar>
            <w:shd w:fill="FFFFFF"/>
          </w:tcPr>
          <w:p>
            <w:pPr>
              <w:spacing w:before="40" w:after="40"/>
            </w:pPr>
            <w:r>
              <w:rPr>
                <w:sz w:val="18"/>
              </w:rPr>
              <w:t>customer_id (NK), city, state, zip_prefix</w:t>
            </w:r>
          </w:p>
        </w:tc>
      </w:tr>
      <w:tr>
        <w:tc>
          <w:tcPr>
            <w:tcW w:type="dxa" w:w="2340"/>
            <w:tcMar>
              <w:top w:w="100" w:type="dxa"/>
              <w:bottom w:w="100" w:type="dxa"/>
              <w:left w:w="150" w:type="dxa"/>
              <w:right w:w="150" w:type="dxa"/>
            </w:tcMar>
            <w:shd w:fill="F9FBFC"/>
          </w:tcPr>
          <w:p>
            <w:pPr>
              <w:spacing w:before="40" w:after="40"/>
            </w:pPr>
            <w:r>
              <w:rPr>
                <w:sz w:val="18"/>
              </w:rPr>
              <w:t>dw.dim_product</w:t>
            </w:r>
          </w:p>
        </w:tc>
        <w:tc>
          <w:tcPr>
            <w:tcW w:type="dxa" w:w="2340"/>
            <w:tcMar>
              <w:top w:w="100" w:type="dxa"/>
              <w:bottom w:w="100" w:type="dxa"/>
              <w:left w:w="150" w:type="dxa"/>
              <w:right w:w="150" w:type="dxa"/>
            </w:tcMar>
            <w:shd w:fill="F9FBFC"/>
          </w:tcPr>
          <w:p>
            <w:pPr>
              <w:spacing w:before="40" w:after="40"/>
            </w:pPr>
            <w:r>
              <w:rPr>
                <w:sz w:val="18"/>
              </w:rPr>
              <w:t>product_key</w:t>
            </w:r>
          </w:p>
        </w:tc>
        <w:tc>
          <w:tcPr>
            <w:tcW w:type="dxa" w:w="2340"/>
            <w:tcMar>
              <w:top w:w="100" w:type="dxa"/>
              <w:bottom w:w="100" w:type="dxa"/>
              <w:left w:w="150" w:type="dxa"/>
              <w:right w:w="150" w:type="dxa"/>
            </w:tcMar>
            <w:shd w:fill="F9FBFC"/>
          </w:tcPr>
          <w:p>
            <w:pPr>
              <w:spacing w:before="40" w:after="40"/>
            </w:pPr>
            <w:r>
              <w:rPr>
                <w:sz w:val="18"/>
              </w:rPr>
              <w:t>32,951</w:t>
            </w:r>
          </w:p>
        </w:tc>
        <w:tc>
          <w:tcPr>
            <w:tcW w:type="dxa" w:w="2340"/>
            <w:tcMar>
              <w:top w:w="100" w:type="dxa"/>
              <w:bottom w:w="100" w:type="dxa"/>
              <w:left w:w="150" w:type="dxa"/>
              <w:right w:w="150" w:type="dxa"/>
            </w:tcMar>
            <w:shd w:fill="F9FBFC"/>
          </w:tcPr>
          <w:p>
            <w:pPr>
              <w:spacing w:before="40" w:after="40"/>
            </w:pPr>
            <w:r>
              <w:rPr>
                <w:sz w:val="18"/>
              </w:rPr>
              <w:t>product_id (NK), category_en, category_pt, weight_g, dimensions</w:t>
            </w:r>
          </w:p>
        </w:tc>
      </w:tr>
      <w:tr>
        <w:tc>
          <w:tcPr>
            <w:tcW w:type="dxa" w:w="2340"/>
            <w:tcMar>
              <w:top w:w="100" w:type="dxa"/>
              <w:bottom w:w="100" w:type="dxa"/>
              <w:left w:w="150" w:type="dxa"/>
              <w:right w:w="150" w:type="dxa"/>
            </w:tcMar>
            <w:shd w:fill="FFFFFF"/>
          </w:tcPr>
          <w:p>
            <w:pPr>
              <w:spacing w:before="40" w:after="40"/>
            </w:pPr>
            <w:r>
              <w:rPr>
                <w:sz w:val="18"/>
              </w:rPr>
              <w:t>dw.dim_seller</w:t>
            </w:r>
          </w:p>
        </w:tc>
        <w:tc>
          <w:tcPr>
            <w:tcW w:type="dxa" w:w="2340"/>
            <w:tcMar>
              <w:top w:w="100" w:type="dxa"/>
              <w:bottom w:w="100" w:type="dxa"/>
              <w:left w:w="150" w:type="dxa"/>
              <w:right w:w="150" w:type="dxa"/>
            </w:tcMar>
            <w:shd w:fill="FFFFFF"/>
          </w:tcPr>
          <w:p>
            <w:pPr>
              <w:spacing w:before="40" w:after="40"/>
            </w:pPr>
            <w:r>
              <w:rPr>
                <w:sz w:val="18"/>
              </w:rPr>
              <w:t>seller_key</w:t>
            </w:r>
          </w:p>
        </w:tc>
        <w:tc>
          <w:tcPr>
            <w:tcW w:type="dxa" w:w="2340"/>
            <w:tcMar>
              <w:top w:w="100" w:type="dxa"/>
              <w:bottom w:w="100" w:type="dxa"/>
              <w:left w:w="150" w:type="dxa"/>
              <w:right w:w="150" w:type="dxa"/>
            </w:tcMar>
            <w:shd w:fill="FFFFFF"/>
          </w:tcPr>
          <w:p>
            <w:pPr>
              <w:spacing w:before="40" w:after="40"/>
            </w:pPr>
            <w:r>
              <w:rPr>
                <w:sz w:val="18"/>
              </w:rPr>
              <w:t>3,095</w:t>
            </w:r>
          </w:p>
        </w:tc>
        <w:tc>
          <w:tcPr>
            <w:tcW w:type="dxa" w:w="2340"/>
            <w:tcMar>
              <w:top w:w="100" w:type="dxa"/>
              <w:bottom w:w="100" w:type="dxa"/>
              <w:left w:w="150" w:type="dxa"/>
              <w:right w:w="150" w:type="dxa"/>
            </w:tcMar>
            <w:shd w:fill="FFFFFF"/>
          </w:tcPr>
          <w:p>
            <w:pPr>
              <w:spacing w:before="40" w:after="40"/>
            </w:pPr>
            <w:r>
              <w:rPr>
                <w:sz w:val="18"/>
              </w:rPr>
              <w:t>seller_id (NK), city, state, zip_prefix</w:t>
            </w:r>
          </w:p>
        </w:tc>
      </w:tr>
      <w:tr>
        <w:tc>
          <w:tcPr>
            <w:tcW w:type="dxa" w:w="2340"/>
            <w:tcMar>
              <w:top w:w="100" w:type="dxa"/>
              <w:bottom w:w="100" w:type="dxa"/>
              <w:left w:w="150" w:type="dxa"/>
              <w:right w:w="150" w:type="dxa"/>
            </w:tcMar>
            <w:shd w:fill="F9FBFC"/>
          </w:tcPr>
          <w:p>
            <w:pPr>
              <w:spacing w:before="40" w:after="40"/>
            </w:pPr>
            <w:r>
              <w:rPr>
                <w:sz w:val="18"/>
              </w:rPr>
              <w:t>dw.dim_date</w:t>
            </w:r>
          </w:p>
        </w:tc>
        <w:tc>
          <w:tcPr>
            <w:tcW w:type="dxa" w:w="2340"/>
            <w:tcMar>
              <w:top w:w="100" w:type="dxa"/>
              <w:bottom w:w="100" w:type="dxa"/>
              <w:left w:w="150" w:type="dxa"/>
              <w:right w:w="150" w:type="dxa"/>
            </w:tcMar>
            <w:shd w:fill="F9FBFC"/>
          </w:tcPr>
          <w:p>
            <w:pPr>
              <w:spacing w:before="40" w:after="40"/>
            </w:pPr>
            <w:r>
              <w:rPr>
                <w:sz w:val="18"/>
              </w:rPr>
              <w:t>date_key</w:t>
            </w:r>
          </w:p>
        </w:tc>
        <w:tc>
          <w:tcPr>
            <w:tcW w:type="dxa" w:w="2340"/>
            <w:tcMar>
              <w:top w:w="100" w:type="dxa"/>
              <w:bottom w:w="100" w:type="dxa"/>
              <w:left w:w="150" w:type="dxa"/>
              <w:right w:w="150" w:type="dxa"/>
            </w:tcMar>
            <w:shd w:fill="F9FBFC"/>
          </w:tcPr>
          <w:p>
            <w:pPr>
              <w:spacing w:before="40" w:after="40"/>
            </w:pPr>
            <w:r>
              <w:rPr>
                <w:sz w:val="18"/>
              </w:rPr>
              <w:t>1,461</w:t>
            </w:r>
          </w:p>
        </w:tc>
        <w:tc>
          <w:tcPr>
            <w:tcW w:type="dxa" w:w="2340"/>
            <w:tcMar>
              <w:top w:w="100" w:type="dxa"/>
              <w:bottom w:w="100" w:type="dxa"/>
              <w:left w:w="150" w:type="dxa"/>
              <w:right w:w="150" w:type="dxa"/>
            </w:tcMar>
            <w:shd w:fill="F9FBFC"/>
          </w:tcPr>
          <w:p>
            <w:pPr>
              <w:spacing w:before="40" w:after="40"/>
            </w:pPr>
            <w:r>
              <w:rPr>
                <w:sz w:val="18"/>
              </w:rPr>
              <w:t>Hierarchy: Year &gt; Quarter &gt; Month &gt; Day (2016-2019)</w:t>
            </w:r>
          </w:p>
        </w:tc>
      </w:tr>
      <w:tr>
        <w:tc>
          <w:tcPr>
            <w:tcW w:type="dxa" w:w="2340"/>
            <w:tcMar>
              <w:top w:w="100" w:type="dxa"/>
              <w:bottom w:w="100" w:type="dxa"/>
              <w:left w:w="150" w:type="dxa"/>
              <w:right w:w="150" w:type="dxa"/>
            </w:tcMar>
            <w:shd w:fill="FFFFFF"/>
          </w:tcPr>
          <w:p>
            <w:pPr>
              <w:spacing w:before="40" w:after="40"/>
            </w:pPr>
            <w:r>
              <w:rPr>
                <w:sz w:val="18"/>
              </w:rPr>
              <w:t>dw.dim_geography</w:t>
            </w:r>
          </w:p>
        </w:tc>
        <w:tc>
          <w:tcPr>
            <w:tcW w:type="dxa" w:w="2340"/>
            <w:tcMar>
              <w:top w:w="100" w:type="dxa"/>
              <w:bottom w:w="100" w:type="dxa"/>
              <w:left w:w="150" w:type="dxa"/>
              <w:right w:w="150" w:type="dxa"/>
            </w:tcMar>
            <w:shd w:fill="FFFFFF"/>
          </w:tcPr>
          <w:p>
            <w:pPr>
              <w:spacing w:before="40" w:after="40"/>
            </w:pPr>
            <w:r>
              <w:rPr>
                <w:sz w:val="18"/>
              </w:rPr>
              <w:t>geo_key</w:t>
            </w:r>
          </w:p>
        </w:tc>
        <w:tc>
          <w:tcPr>
            <w:tcW w:type="dxa" w:w="2340"/>
            <w:tcMar>
              <w:top w:w="100" w:type="dxa"/>
              <w:bottom w:w="100" w:type="dxa"/>
              <w:left w:w="150" w:type="dxa"/>
              <w:right w:w="150" w:type="dxa"/>
            </w:tcMar>
            <w:shd w:fill="FFFFFF"/>
          </w:tcPr>
          <w:p>
            <w:pPr>
              <w:spacing w:before="40" w:after="40"/>
            </w:pPr>
            <w:r>
              <w:rPr>
                <w:sz w:val="18"/>
              </w:rPr>
              <w:t>19,015</w:t>
            </w:r>
          </w:p>
        </w:tc>
        <w:tc>
          <w:tcPr>
            <w:tcW w:type="dxa" w:w="2340"/>
            <w:tcMar>
              <w:top w:w="100" w:type="dxa"/>
              <w:bottom w:w="100" w:type="dxa"/>
              <w:left w:w="150" w:type="dxa"/>
              <w:right w:w="150" w:type="dxa"/>
            </w:tcMar>
            <w:shd w:fill="FFFFFF"/>
          </w:tcPr>
          <w:p>
            <w:pPr>
              <w:spacing w:before="40" w:after="40"/>
            </w:pPr>
            <w:r>
              <w:rPr>
                <w:sz w:val="18"/>
              </w:rPr>
              <w:t>Hierarchy: State &gt; City (zip_prefix NK, lat, lng centroids)</w:t>
            </w:r>
          </w:p>
        </w:tc>
      </w:tr>
    </w:tbl>
    <w:p>
      <w:pPr>
        <w:pStyle w:val="Heading2"/>
      </w:pPr>
      <w:r>
        <w:t>4.3 Slowly Changing Dimension (SCD) Policy</w:t>
      </w:r>
    </w:p>
    <w:p>
      <w:r>
        <w:t>All dimensions implement SCD Type 1 (Overwrite). This strategy is academically justified because the Olist dataset represents a closed historical corpus (2016–2018). Tracking address mutations or seller migrations via surrogate versioning (Type 2) would artificially inflate dimension volume without providing authentic historical validity for completed historical deliveries.</w:t>
      </w:r>
    </w:p>
    <w:p>
      <w:pPr>
        <w:pStyle w:val="Heading1"/>
      </w:pPr>
      <w:r>
        <w:t>Task 5: ETL Process Development</w:t>
      </w:r>
    </w:p>
    <w:p>
      <w:pPr>
        <w:pStyle w:val="Heading2"/>
      </w:pPr>
      <w:r>
        <w:t>5.1 Workflow Structure &amp; Load Sequence</w:t>
      </w:r>
    </w:p>
    <w:p>
      <w:r>
        <w:t>The ETL pipeline is orchestrated via python/etl_pipeline.py and mirrored in SSIS packages (PKG_01 through PKG_03):</w:t>
        <w:br/>
        <w:t>1. Schema Build: Executes 01_staging_schema.sql and 02_star_schema.sql.</w:t>
        <w:br/>
        <w:t>2. Staging Extract: Chunked ingestion of 9 raw CSVs into stg.* tables (1,550,922 rows total).</w:t>
        <w:br/>
        <w:t>3. Financial Seed: 02b_exchange_rates_seed.py enriches stg.exchange_rates for all 634 dates.</w:t>
        <w:br/>
        <w:t>4. Dimension Transform: 03_load_dimensions.py clears and loads customer, product, seller, and geography dimensions.</w:t>
        <w:br/>
        <w:t>5. Fact Integration: 04_load_fact.py performs SQL key resolution and loads 112,650 rows into dw.fact_order_items.</w:t>
        <w:br/>
        <w:t>6. Data Mart Deployment: 03_data_mart.sql compiles analytical views.</w:t>
        <w:br/>
        <w:t>7. Verification: 04_validation_tests.sql executes automated row reconciliation.</w:t>
      </w:r>
    </w:p>
    <w:p>
      <w:pPr>
        <w:pStyle w:val="Heading2"/>
      </w:pPr>
      <w:r>
        <w:t>5.2 Validation &amp; Integrity Results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005691"/>
          </w:tcPr>
          <w:p>
            <w:pPr>
              <w:spacing w:before="40" w:after="40"/>
            </w:pPr>
            <w:r>
              <w:rPr>
                <w:b/>
                <w:color w:val="FFFFFF"/>
                <w:sz w:val="19"/>
              </w:rPr>
              <w:t>Test Category</w:t>
            </w:r>
          </w:p>
        </w:tc>
        <w:tc>
          <w:tcPr>
            <w:tcW w:type="dxa" w:w="2340"/>
            <w:tcMar>
              <w:top w:w="100" w:type="dxa"/>
              <w:bottom w:w="100" w:type="dxa"/>
              <w:left w:w="150" w:type="dxa"/>
              <w:right w:w="150" w:type="dxa"/>
            </w:tcMar>
            <w:shd w:fill="005691"/>
          </w:tcPr>
          <w:p>
            <w:pPr>
              <w:spacing w:before="40" w:after="40"/>
            </w:pPr>
            <w:r>
              <w:rPr>
                <w:b/>
                <w:color w:val="FFFFFF"/>
                <w:sz w:val="19"/>
              </w:rPr>
              <w:t>Metric Tested</w:t>
            </w:r>
          </w:p>
        </w:tc>
        <w:tc>
          <w:tcPr>
            <w:tcW w:type="dxa" w:w="2340"/>
            <w:tcMar>
              <w:top w:w="100" w:type="dxa"/>
              <w:bottom w:w="100" w:type="dxa"/>
              <w:left w:w="150" w:type="dxa"/>
              <w:right w:w="150" w:type="dxa"/>
            </w:tcMar>
            <w:shd w:fill="005691"/>
          </w:tcPr>
          <w:p>
            <w:pPr>
              <w:spacing w:before="40" w:after="40"/>
            </w:pPr>
            <w:r>
              <w:rPr>
                <w:b/>
                <w:color w:val="FFFFFF"/>
                <w:sz w:val="19"/>
              </w:rPr>
              <w:t>Actual Result</w:t>
            </w:r>
          </w:p>
        </w:tc>
        <w:tc>
          <w:tcPr>
            <w:tcW w:type="dxa" w:w="2340"/>
            <w:tcMar>
              <w:top w:w="100" w:type="dxa"/>
              <w:bottom w:w="100" w:type="dxa"/>
              <w:left w:w="150" w:type="dxa"/>
              <w:right w:w="150" w:type="dxa"/>
            </w:tcMar>
            <w:shd w:fill="005691"/>
          </w:tcPr>
          <w:p>
            <w:pPr>
              <w:spacing w:before="40" w:after="40"/>
            </w:pPr>
            <w:r>
              <w:rPr>
                <w:b/>
                <w:color w:val="FFFFFF"/>
                <w:sz w:val="19"/>
              </w:rPr>
              <w:t>Status</w:t>
            </w:r>
          </w:p>
        </w:tc>
      </w:tr>
      <w:tr>
        <w:tc>
          <w:tcPr>
            <w:tcW w:type="dxa" w:w="2340"/>
            <w:tcMar>
              <w:top w:w="100" w:type="dxa"/>
              <w:bottom w:w="100" w:type="dxa"/>
              <w:left w:w="150" w:type="dxa"/>
              <w:right w:w="150" w:type="dxa"/>
            </w:tcMar>
            <w:shd w:fill="FFFFFF"/>
          </w:tcPr>
          <w:p>
            <w:pPr>
              <w:spacing w:before="40" w:after="40"/>
            </w:pPr>
            <w:r>
              <w:rPr>
                <w:sz w:val="18"/>
              </w:rPr>
              <w:t>Source Staging Volume</w:t>
            </w:r>
          </w:p>
        </w:tc>
        <w:tc>
          <w:tcPr>
            <w:tcW w:type="dxa" w:w="2340"/>
            <w:tcMar>
              <w:top w:w="100" w:type="dxa"/>
              <w:bottom w:w="100" w:type="dxa"/>
              <w:left w:w="150" w:type="dxa"/>
              <w:right w:w="150" w:type="dxa"/>
            </w:tcMar>
            <w:shd w:fill="FFFFFF"/>
          </w:tcPr>
          <w:p>
            <w:pPr>
              <w:spacing w:before="40" w:after="40"/>
            </w:pPr>
            <w:r>
              <w:rPr>
                <w:sz w:val="18"/>
              </w:rPr>
              <w:t>Total rows in stg.* tables</w:t>
            </w:r>
          </w:p>
        </w:tc>
        <w:tc>
          <w:tcPr>
            <w:tcW w:type="dxa" w:w="2340"/>
            <w:tcMar>
              <w:top w:w="100" w:type="dxa"/>
              <w:bottom w:w="100" w:type="dxa"/>
              <w:left w:w="150" w:type="dxa"/>
              <w:right w:w="150" w:type="dxa"/>
            </w:tcMar>
            <w:shd w:fill="FFFFFF"/>
          </w:tcPr>
          <w:p>
            <w:pPr>
              <w:spacing w:before="40" w:after="40"/>
            </w:pPr>
            <w:r>
              <w:rPr>
                <w:sz w:val="18"/>
              </w:rPr>
              <w:t>1,550,922 rows</w:t>
            </w:r>
          </w:p>
        </w:tc>
        <w:tc>
          <w:tcPr>
            <w:tcW w:type="dxa" w:w="2340"/>
            <w:tcMar>
              <w:top w:w="100" w:type="dxa"/>
              <w:bottom w:w="100" w:type="dxa"/>
              <w:left w:w="150" w:type="dxa"/>
              <w:right w:w="150" w:type="dxa"/>
            </w:tcMar>
            <w:shd w:fill="FFFFFF"/>
          </w:tcPr>
          <w:p>
            <w:pPr>
              <w:spacing w:before="40" w:after="40"/>
            </w:pPr>
            <w:r>
              <w:rPr>
                <w:sz w:val="18"/>
              </w:rPr>
              <w:t>PASSED (100% Reconciliation)</w:t>
            </w:r>
          </w:p>
        </w:tc>
      </w:tr>
      <w:tr>
        <w:tc>
          <w:tcPr>
            <w:tcW w:type="dxa" w:w="2340"/>
            <w:tcMar>
              <w:top w:w="100" w:type="dxa"/>
              <w:bottom w:w="100" w:type="dxa"/>
              <w:left w:w="150" w:type="dxa"/>
              <w:right w:w="150" w:type="dxa"/>
            </w:tcMar>
            <w:shd w:fill="F9FBFC"/>
          </w:tcPr>
          <w:p>
            <w:pPr>
              <w:spacing w:before="40" w:after="40"/>
            </w:pPr>
            <w:r>
              <w:rPr>
                <w:sz w:val="18"/>
              </w:rPr>
              <w:t>Fact Granularity</w:t>
            </w:r>
          </w:p>
        </w:tc>
        <w:tc>
          <w:tcPr>
            <w:tcW w:type="dxa" w:w="2340"/>
            <w:tcMar>
              <w:top w:w="100" w:type="dxa"/>
              <w:bottom w:w="100" w:type="dxa"/>
              <w:left w:w="150" w:type="dxa"/>
              <w:right w:w="150" w:type="dxa"/>
            </w:tcMar>
            <w:shd w:fill="F9FBFC"/>
          </w:tcPr>
          <w:p>
            <w:pPr>
              <w:spacing w:before="40" w:after="40"/>
            </w:pPr>
            <w:r>
              <w:rPr>
                <w:sz w:val="18"/>
              </w:rPr>
              <w:t>Total rows in dw.fact_order_items</w:t>
            </w:r>
          </w:p>
        </w:tc>
        <w:tc>
          <w:tcPr>
            <w:tcW w:type="dxa" w:w="2340"/>
            <w:tcMar>
              <w:top w:w="100" w:type="dxa"/>
              <w:bottom w:w="100" w:type="dxa"/>
              <w:left w:w="150" w:type="dxa"/>
              <w:right w:w="150" w:type="dxa"/>
            </w:tcMar>
            <w:shd w:fill="F9FBFC"/>
          </w:tcPr>
          <w:p>
            <w:pPr>
              <w:spacing w:before="40" w:after="40"/>
            </w:pPr>
            <w:r>
              <w:rPr>
                <w:sz w:val="18"/>
              </w:rPr>
              <w:t>112,650 rows</w:t>
            </w:r>
          </w:p>
        </w:tc>
        <w:tc>
          <w:tcPr>
            <w:tcW w:type="dxa" w:w="2340"/>
            <w:tcMar>
              <w:top w:w="100" w:type="dxa"/>
              <w:bottom w:w="100" w:type="dxa"/>
              <w:left w:w="150" w:type="dxa"/>
              <w:right w:w="150" w:type="dxa"/>
            </w:tcMar>
            <w:shd w:fill="F9FBFC"/>
          </w:tcPr>
          <w:p>
            <w:pPr>
              <w:spacing w:before="40" w:after="40"/>
            </w:pPr>
            <w:r>
              <w:rPr>
                <w:sz w:val="18"/>
              </w:rPr>
              <w:t>PASSED (Matches Source Items)</w:t>
            </w:r>
          </w:p>
        </w:tc>
      </w:tr>
      <w:tr>
        <w:tc>
          <w:tcPr>
            <w:tcW w:type="dxa" w:w="2340"/>
            <w:tcMar>
              <w:top w:w="100" w:type="dxa"/>
              <w:bottom w:w="100" w:type="dxa"/>
              <w:left w:w="150" w:type="dxa"/>
              <w:right w:w="150" w:type="dxa"/>
            </w:tcMar>
            <w:shd w:fill="FFFFFF"/>
          </w:tcPr>
          <w:p>
            <w:pPr>
              <w:spacing w:before="40" w:after="40"/>
            </w:pPr>
            <w:r>
              <w:rPr>
                <w:sz w:val="18"/>
              </w:rPr>
              <w:t>Distinct Order Count</w:t>
            </w:r>
          </w:p>
        </w:tc>
        <w:tc>
          <w:tcPr>
            <w:tcW w:type="dxa" w:w="2340"/>
            <w:tcMar>
              <w:top w:w="100" w:type="dxa"/>
              <w:bottom w:w="100" w:type="dxa"/>
              <w:left w:w="150" w:type="dxa"/>
              <w:right w:w="150" w:type="dxa"/>
            </w:tcMar>
            <w:shd w:fill="FFFFFF"/>
          </w:tcPr>
          <w:p>
            <w:pPr>
              <w:spacing w:before="40" w:after="40"/>
            </w:pPr>
            <w:r>
              <w:rPr>
                <w:sz w:val="18"/>
              </w:rPr>
              <w:t>Unique orders in fact table</w:t>
            </w:r>
          </w:p>
        </w:tc>
        <w:tc>
          <w:tcPr>
            <w:tcW w:type="dxa" w:w="2340"/>
            <w:tcMar>
              <w:top w:w="100" w:type="dxa"/>
              <w:bottom w:w="100" w:type="dxa"/>
              <w:left w:w="150" w:type="dxa"/>
              <w:right w:w="150" w:type="dxa"/>
            </w:tcMar>
            <w:shd w:fill="FFFFFF"/>
          </w:tcPr>
          <w:p>
            <w:pPr>
              <w:spacing w:before="40" w:after="40"/>
            </w:pPr>
            <w:r>
              <w:rPr>
                <w:sz w:val="18"/>
              </w:rPr>
              <w:t>98,666 orders</w:t>
            </w:r>
          </w:p>
        </w:tc>
        <w:tc>
          <w:tcPr>
            <w:tcW w:type="dxa" w:w="2340"/>
            <w:tcMar>
              <w:top w:w="100" w:type="dxa"/>
              <w:bottom w:w="100" w:type="dxa"/>
              <w:left w:w="150" w:type="dxa"/>
              <w:right w:w="150" w:type="dxa"/>
            </w:tcMar>
            <w:shd w:fill="FFFFFF"/>
          </w:tcPr>
          <w:p>
            <w:pPr>
              <w:spacing w:before="40" w:after="40"/>
            </w:pPr>
            <w:r>
              <w:rPr>
                <w:sz w:val="18"/>
              </w:rPr>
              <w:t>PASSED</w:t>
            </w:r>
          </w:p>
        </w:tc>
      </w:tr>
      <w:tr>
        <w:tc>
          <w:tcPr>
            <w:tcW w:type="dxa" w:w="2340"/>
            <w:tcMar>
              <w:top w:w="100" w:type="dxa"/>
              <w:bottom w:w="100" w:type="dxa"/>
              <w:left w:w="150" w:type="dxa"/>
              <w:right w:w="150" w:type="dxa"/>
            </w:tcMar>
            <w:shd w:fill="F9FBFC"/>
          </w:tcPr>
          <w:p>
            <w:pPr>
              <w:spacing w:before="40" w:after="40"/>
            </w:pPr>
            <w:r>
              <w:rPr>
                <w:sz w:val="18"/>
              </w:rPr>
              <w:t>Referential Integrity</w:t>
            </w:r>
          </w:p>
        </w:tc>
        <w:tc>
          <w:tcPr>
            <w:tcW w:type="dxa" w:w="2340"/>
            <w:tcMar>
              <w:top w:w="100" w:type="dxa"/>
              <w:bottom w:w="100" w:type="dxa"/>
              <w:left w:w="150" w:type="dxa"/>
              <w:right w:w="150" w:type="dxa"/>
            </w:tcMar>
            <w:shd w:fill="F9FBFC"/>
          </w:tcPr>
          <w:p>
            <w:pPr>
              <w:spacing w:before="40" w:after="40"/>
            </w:pPr>
            <w:r>
              <w:rPr>
                <w:sz w:val="18"/>
              </w:rPr>
              <w:t>Orphan Customer, Product, Seller, Date keys</w:t>
            </w:r>
          </w:p>
        </w:tc>
        <w:tc>
          <w:tcPr>
            <w:tcW w:type="dxa" w:w="2340"/>
            <w:tcMar>
              <w:top w:w="100" w:type="dxa"/>
              <w:bottom w:w="100" w:type="dxa"/>
              <w:left w:w="150" w:type="dxa"/>
              <w:right w:w="150" w:type="dxa"/>
            </w:tcMar>
            <w:shd w:fill="F9FBFC"/>
          </w:tcPr>
          <w:p>
            <w:pPr>
              <w:spacing w:before="40" w:after="40"/>
            </w:pPr>
            <w:r>
              <w:rPr>
                <w:sz w:val="18"/>
              </w:rPr>
              <w:t>0 orphans (Zero defects)</w:t>
            </w:r>
          </w:p>
        </w:tc>
        <w:tc>
          <w:tcPr>
            <w:tcW w:type="dxa" w:w="2340"/>
            <w:tcMar>
              <w:top w:w="100" w:type="dxa"/>
              <w:bottom w:w="100" w:type="dxa"/>
              <w:left w:w="150" w:type="dxa"/>
              <w:right w:w="150" w:type="dxa"/>
            </w:tcMar>
            <w:shd w:fill="F9FBFC"/>
          </w:tcPr>
          <w:p>
            <w:pPr>
              <w:spacing w:before="40" w:after="40"/>
            </w:pPr>
            <w:r>
              <w:rPr>
                <w:sz w:val="18"/>
              </w:rPr>
              <w:t>PASSED (100% Integrity)</w:t>
            </w:r>
          </w:p>
        </w:tc>
      </w:tr>
      <w:tr>
        <w:tc>
          <w:tcPr>
            <w:tcW w:type="dxa" w:w="2340"/>
            <w:tcMar>
              <w:top w:w="100" w:type="dxa"/>
              <w:bottom w:w="100" w:type="dxa"/>
              <w:left w:w="150" w:type="dxa"/>
              <w:right w:w="150" w:type="dxa"/>
            </w:tcMar>
            <w:shd w:fill="FFFFFF"/>
          </w:tcPr>
          <w:p>
            <w:pPr>
              <w:spacing w:before="40" w:after="40"/>
            </w:pPr>
            <w:r>
              <w:rPr>
                <w:sz w:val="18"/>
              </w:rPr>
              <w:t>Financial Validation</w:t>
            </w:r>
          </w:p>
        </w:tc>
        <w:tc>
          <w:tcPr>
            <w:tcW w:type="dxa" w:w="2340"/>
            <w:tcMar>
              <w:top w:w="100" w:type="dxa"/>
              <w:bottom w:w="100" w:type="dxa"/>
              <w:left w:w="150" w:type="dxa"/>
              <w:right w:w="150" w:type="dxa"/>
            </w:tcMar>
            <w:shd w:fill="FFFFFF"/>
          </w:tcPr>
          <w:p>
            <w:pPr>
              <w:spacing w:before="40" w:after="40"/>
            </w:pPr>
            <w:r>
              <w:rPr>
                <w:sz w:val="18"/>
              </w:rPr>
              <w:t>Cumulative BRL gross revenue</w:t>
            </w:r>
          </w:p>
        </w:tc>
        <w:tc>
          <w:tcPr>
            <w:tcW w:type="dxa" w:w="2340"/>
            <w:tcMar>
              <w:top w:w="100" w:type="dxa"/>
              <w:bottom w:w="100" w:type="dxa"/>
              <w:left w:w="150" w:type="dxa"/>
              <w:right w:w="150" w:type="dxa"/>
            </w:tcMar>
            <w:shd w:fill="FFFFFF"/>
          </w:tcPr>
          <w:p>
            <w:pPr>
              <w:spacing w:before="40" w:after="40"/>
            </w:pPr>
            <w:r>
              <w:rPr>
                <w:sz w:val="18"/>
              </w:rPr>
              <w:t>R$ 13,591,643.70</w:t>
            </w:r>
          </w:p>
        </w:tc>
        <w:tc>
          <w:tcPr>
            <w:tcW w:type="dxa" w:w="2340"/>
            <w:tcMar>
              <w:top w:w="100" w:type="dxa"/>
              <w:bottom w:w="100" w:type="dxa"/>
              <w:left w:w="150" w:type="dxa"/>
              <w:right w:w="150" w:type="dxa"/>
            </w:tcMar>
            <w:shd w:fill="FFFFFF"/>
          </w:tcPr>
          <w:p>
            <w:pPr>
              <w:spacing w:before="40" w:after="40"/>
            </w:pPr>
            <w:r>
              <w:rPr>
                <w:sz w:val="18"/>
              </w:rPr>
              <w:t>PASSED</w:t>
            </w:r>
          </w:p>
        </w:tc>
      </w:tr>
      <w:tr>
        <w:tc>
          <w:tcPr>
            <w:tcW w:type="dxa" w:w="2340"/>
            <w:tcMar>
              <w:top w:w="100" w:type="dxa"/>
              <w:bottom w:w="100" w:type="dxa"/>
              <w:left w:w="150" w:type="dxa"/>
              <w:right w:w="150" w:type="dxa"/>
            </w:tcMar>
            <w:shd w:fill="F9FBFC"/>
          </w:tcPr>
          <w:p>
            <w:pPr>
              <w:spacing w:before="40" w:after="40"/>
            </w:pPr>
            <w:r>
              <w:rPr>
                <w:sz w:val="18"/>
              </w:rPr>
              <w:t>Lead-Time Variance</w:t>
            </w:r>
          </w:p>
        </w:tc>
        <w:tc>
          <w:tcPr>
            <w:tcW w:type="dxa" w:w="2340"/>
            <w:tcMar>
              <w:top w:w="100" w:type="dxa"/>
              <w:bottom w:w="100" w:type="dxa"/>
              <w:left w:w="150" w:type="dxa"/>
              <w:right w:w="150" w:type="dxa"/>
            </w:tcMar>
            <w:shd w:fill="F9FBFC"/>
          </w:tcPr>
          <w:p>
            <w:pPr>
              <w:spacing w:before="40" w:after="40"/>
            </w:pPr>
            <w:r>
              <w:rPr>
                <w:sz w:val="18"/>
              </w:rPr>
              <w:t>Average delivery delay days</w:t>
            </w:r>
          </w:p>
        </w:tc>
        <w:tc>
          <w:tcPr>
            <w:tcW w:type="dxa" w:w="2340"/>
            <w:tcMar>
              <w:top w:w="100" w:type="dxa"/>
              <w:bottom w:w="100" w:type="dxa"/>
              <w:left w:w="150" w:type="dxa"/>
              <w:right w:w="150" w:type="dxa"/>
            </w:tcMar>
            <w:shd w:fill="F9FBFC"/>
          </w:tcPr>
          <w:p>
            <w:pPr>
              <w:spacing w:before="40" w:after="40"/>
            </w:pPr>
            <w:r>
              <w:rPr>
                <w:sz w:val="18"/>
              </w:rPr>
              <w:t>-12.03 days (early)</w:t>
            </w:r>
          </w:p>
        </w:tc>
        <w:tc>
          <w:tcPr>
            <w:tcW w:type="dxa" w:w="2340"/>
            <w:tcMar>
              <w:top w:w="100" w:type="dxa"/>
              <w:bottom w:w="100" w:type="dxa"/>
              <w:left w:w="150" w:type="dxa"/>
              <w:right w:w="150" w:type="dxa"/>
            </w:tcMar>
            <w:shd w:fill="F9FBFC"/>
          </w:tcPr>
          <w:p>
            <w:pPr>
              <w:spacing w:before="40" w:after="40"/>
            </w:pPr>
            <w:r>
              <w:rPr>
                <w:sz w:val="18"/>
              </w:rPr>
              <w:t>PASSED</w:t>
            </w:r>
          </w:p>
        </w:tc>
      </w:tr>
    </w:tbl>
    <w:p>
      <w:pPr>
        <w:pStyle w:val="Heading1"/>
      </w:pPr>
      <w:r>
        <w:t>Task 6: Data Mart Development</w:t>
      </w:r>
    </w:p>
    <w:p>
      <w:r>
        <w:t>To optimize query throughput for specific operational divisions, two departmental data marts were constructed as pre-aggregated SQL views:</w:t>
      </w:r>
    </w:p>
    <w:p>
      <w:pPr>
        <w:pStyle w:val="Heading2"/>
      </w:pPr>
      <w:r>
        <w:t>6.1 dw.logistics_performance_mart</w:t>
      </w:r>
    </w:p>
    <w:p>
      <w:r>
        <w:t>• Target Users: Chief Logistics Officer, Carrier Relationship Managers, Interstate Dispatchers.</w:t>
        <w:br/>
        <w:t>• Aggregation Grain: Seller State × Customer State × Year × Month.</w:t>
        <w:br/>
        <w:t>• Measures: avg_delay_days, max_delay_days, late_deliveries, on_time_deliveries, avg_freight_brl, total_freight_brl, avg_review_score.</w:t>
        <w:br/>
        <w:t>• Analytical Benefit: Rapidly isolates problematic interstate transport corridors without scanning the full 112K item fact table.</w:t>
      </w:r>
    </w:p>
    <w:p>
      <w:pPr>
        <w:pStyle w:val="Heading2"/>
      </w:pPr>
      <w:r>
        <w:t>6.2 dw.sales_performance_mart</w:t>
      </w:r>
    </w:p>
    <w:p>
      <w:r>
        <w:t>• Target Users: Merchandising Directors, Category Brand Managers, Commercial Executives.</w:t>
        <w:br/>
        <w:t>• Aggregation Grain: Product Category × Year × Quarter × Month.</w:t>
        <w:br/>
        <w:t>• Measures: order_item_count, distinct_order_count, total_revenue_brl, total_revenue_usd, avg_order_value_brl, avg_review_score.</w:t>
      </w:r>
    </w:p>
    <w:p>
      <w:pPr>
        <w:pStyle w:val="Heading1"/>
      </w:pPr>
      <w:r>
        <w:t>Task 7: OLAP Analysis and Business Intelligence Dashboard Development</w:t>
      </w:r>
    </w:p>
    <w:p>
      <w:pPr>
        <w:pStyle w:val="Heading2"/>
      </w:pPr>
      <w:r>
        <w:t>7.1 Semantic Model &amp; DAX Formulas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005691"/>
          </w:tcPr>
          <w:p>
            <w:pPr>
              <w:spacing w:before="40" w:after="40"/>
            </w:pPr>
            <w:r>
              <w:rPr>
                <w:b/>
                <w:color w:val="FFFFFF"/>
                <w:sz w:val="19"/>
              </w:rPr>
              <w:t>Measure Name</w:t>
            </w:r>
          </w:p>
        </w:tc>
        <w:tc>
          <w:tcPr>
            <w:tcW w:type="dxa" w:w="3120"/>
            <w:tcMar>
              <w:top w:w="100" w:type="dxa"/>
              <w:bottom w:w="100" w:type="dxa"/>
              <w:left w:w="150" w:type="dxa"/>
              <w:right w:w="150" w:type="dxa"/>
            </w:tcMar>
            <w:shd w:fill="005691"/>
          </w:tcPr>
          <w:p>
            <w:pPr>
              <w:spacing w:before="40" w:after="40"/>
            </w:pPr>
            <w:r>
              <w:rPr>
                <w:b/>
                <w:color w:val="FFFFFF"/>
                <w:sz w:val="19"/>
              </w:rPr>
              <w:t>DAX Expression</w:t>
            </w:r>
          </w:p>
        </w:tc>
        <w:tc>
          <w:tcPr>
            <w:tcW w:type="dxa" w:w="3120"/>
            <w:tcMar>
              <w:top w:w="100" w:type="dxa"/>
              <w:bottom w:w="100" w:type="dxa"/>
              <w:left w:w="150" w:type="dxa"/>
              <w:right w:w="150" w:type="dxa"/>
            </w:tcMar>
            <w:shd w:fill="005691"/>
          </w:tcPr>
          <w:p>
            <w:pPr>
              <w:spacing w:before="40" w:after="40"/>
            </w:pPr>
            <w:r>
              <w:rPr>
                <w:b/>
                <w:color w:val="FFFFFF"/>
                <w:sz w:val="19"/>
              </w:rPr>
              <w:t>Business Intent</w:t>
            </w:r>
          </w:p>
        </w:tc>
      </w:tr>
      <w:tr>
        <w:tc>
          <w:tcPr>
            <w:tcW w:type="dxa" w:w="3120"/>
            <w:tcMar>
              <w:top w:w="100" w:type="dxa"/>
              <w:bottom w:w="100" w:type="dxa"/>
              <w:left w:w="150" w:type="dxa"/>
              <w:right w:w="150" w:type="dxa"/>
            </w:tcMar>
            <w:shd w:fill="FFFFFF"/>
          </w:tcPr>
          <w:p>
            <w:pPr>
              <w:spacing w:before="40" w:after="40"/>
            </w:pPr>
            <w:r>
              <w:rPr>
                <w:sz w:val="18"/>
              </w:rPr>
              <w:t>Total Revenue BRL</w:t>
            </w:r>
          </w:p>
        </w:tc>
        <w:tc>
          <w:tcPr>
            <w:tcW w:type="dxa" w:w="3120"/>
            <w:tcMar>
              <w:top w:w="100" w:type="dxa"/>
              <w:bottom w:w="100" w:type="dxa"/>
              <w:left w:w="150" w:type="dxa"/>
              <w:right w:w="150" w:type="dxa"/>
            </w:tcMar>
            <w:shd w:fill="FFFFFF"/>
          </w:tcPr>
          <w:p>
            <w:pPr>
              <w:spacing w:before="40" w:after="40"/>
            </w:pPr>
            <w:r>
              <w:rPr>
                <w:sz w:val="18"/>
              </w:rPr>
              <w:t>SUM(fact_order_items[price_brl])</w:t>
            </w:r>
          </w:p>
        </w:tc>
        <w:tc>
          <w:tcPr>
            <w:tcW w:type="dxa" w:w="3120"/>
            <w:tcMar>
              <w:top w:w="100" w:type="dxa"/>
              <w:bottom w:w="100" w:type="dxa"/>
              <w:left w:w="150" w:type="dxa"/>
              <w:right w:w="150" w:type="dxa"/>
            </w:tcMar>
            <w:shd w:fill="FFFFFF"/>
          </w:tcPr>
          <w:p>
            <w:pPr>
              <w:spacing w:before="40" w:after="40"/>
            </w:pPr>
            <w:r>
              <w:rPr>
                <w:sz w:val="18"/>
              </w:rPr>
              <w:t>Gross marketplace merchandise volume in local currency.</w:t>
            </w:r>
          </w:p>
        </w:tc>
      </w:tr>
      <w:tr>
        <w:tc>
          <w:tcPr>
            <w:tcW w:type="dxa" w:w="3120"/>
            <w:tcMar>
              <w:top w:w="100" w:type="dxa"/>
              <w:bottom w:w="100" w:type="dxa"/>
              <w:left w:w="150" w:type="dxa"/>
              <w:right w:w="150" w:type="dxa"/>
            </w:tcMar>
            <w:shd w:fill="F9FBFC"/>
          </w:tcPr>
          <w:p>
            <w:pPr>
              <w:spacing w:before="40" w:after="40"/>
            </w:pPr>
            <w:r>
              <w:rPr>
                <w:sz w:val="18"/>
              </w:rPr>
              <w:t>Total Revenue USD</w:t>
            </w:r>
          </w:p>
        </w:tc>
        <w:tc>
          <w:tcPr>
            <w:tcW w:type="dxa" w:w="3120"/>
            <w:tcMar>
              <w:top w:w="100" w:type="dxa"/>
              <w:bottom w:w="100" w:type="dxa"/>
              <w:left w:w="150" w:type="dxa"/>
              <w:right w:w="150" w:type="dxa"/>
            </w:tcMar>
            <w:shd w:fill="F9FBFC"/>
          </w:tcPr>
          <w:p>
            <w:pPr>
              <w:spacing w:before="40" w:after="40"/>
            </w:pPr>
            <w:r>
              <w:rPr>
                <w:sz w:val="18"/>
              </w:rPr>
              <w:t>SUM(fact_order_items[price_usd])</w:t>
            </w:r>
          </w:p>
        </w:tc>
        <w:tc>
          <w:tcPr>
            <w:tcW w:type="dxa" w:w="3120"/>
            <w:tcMar>
              <w:top w:w="100" w:type="dxa"/>
              <w:bottom w:w="100" w:type="dxa"/>
              <w:left w:w="150" w:type="dxa"/>
              <w:right w:w="150" w:type="dxa"/>
            </w:tcMar>
            <w:shd w:fill="F9FBFC"/>
          </w:tcPr>
          <w:p>
            <w:pPr>
              <w:spacing w:before="40" w:after="40"/>
            </w:pPr>
            <w:r>
              <w:rPr>
                <w:sz w:val="18"/>
              </w:rPr>
              <w:t>Gross merchandise volume normalized in USD.</w:t>
            </w:r>
          </w:p>
        </w:tc>
      </w:tr>
      <w:tr>
        <w:tc>
          <w:tcPr>
            <w:tcW w:type="dxa" w:w="3120"/>
            <w:tcMar>
              <w:top w:w="100" w:type="dxa"/>
              <w:bottom w:w="100" w:type="dxa"/>
              <w:left w:w="150" w:type="dxa"/>
              <w:right w:w="150" w:type="dxa"/>
            </w:tcMar>
            <w:shd w:fill="FFFFFF"/>
          </w:tcPr>
          <w:p>
            <w:pPr>
              <w:spacing w:before="40" w:after="40"/>
            </w:pPr>
            <w:r>
              <w:rPr>
                <w:sz w:val="18"/>
              </w:rPr>
              <w:t>Order Count</w:t>
            </w:r>
          </w:p>
        </w:tc>
        <w:tc>
          <w:tcPr>
            <w:tcW w:type="dxa" w:w="3120"/>
            <w:tcMar>
              <w:top w:w="100" w:type="dxa"/>
              <w:bottom w:w="100" w:type="dxa"/>
              <w:left w:w="150" w:type="dxa"/>
              <w:right w:w="150" w:type="dxa"/>
            </w:tcMar>
            <w:shd w:fill="FFFFFF"/>
          </w:tcPr>
          <w:p>
            <w:pPr>
              <w:spacing w:before="40" w:after="40"/>
            </w:pPr>
            <w:r>
              <w:rPr>
                <w:sz w:val="18"/>
              </w:rPr>
              <w:t>DISTINCTCOUNT(fact_order_items[order_id])</w:t>
            </w:r>
          </w:p>
        </w:tc>
        <w:tc>
          <w:tcPr>
            <w:tcW w:type="dxa" w:w="3120"/>
            <w:tcMar>
              <w:top w:w="100" w:type="dxa"/>
              <w:bottom w:w="100" w:type="dxa"/>
              <w:left w:w="150" w:type="dxa"/>
              <w:right w:w="150" w:type="dxa"/>
            </w:tcMar>
            <w:shd w:fill="FFFFFF"/>
          </w:tcPr>
          <w:p>
            <w:pPr>
              <w:spacing w:before="40" w:after="40"/>
            </w:pPr>
            <w:r>
              <w:rPr>
                <w:sz w:val="18"/>
              </w:rPr>
              <w:t>Volume of discrete completed transactions.</w:t>
            </w:r>
          </w:p>
        </w:tc>
      </w:tr>
      <w:tr>
        <w:tc>
          <w:tcPr>
            <w:tcW w:type="dxa" w:w="3120"/>
            <w:tcMar>
              <w:top w:w="100" w:type="dxa"/>
              <w:bottom w:w="100" w:type="dxa"/>
              <w:left w:w="150" w:type="dxa"/>
              <w:right w:w="150" w:type="dxa"/>
            </w:tcMar>
            <w:shd w:fill="F9FBFC"/>
          </w:tcPr>
          <w:p>
            <w:pPr>
              <w:spacing w:before="40" w:after="40"/>
            </w:pPr>
            <w:r>
              <w:rPr>
                <w:sz w:val="18"/>
              </w:rPr>
              <w:t>Avg Order Value (AOV)</w:t>
            </w:r>
          </w:p>
        </w:tc>
        <w:tc>
          <w:tcPr>
            <w:tcW w:type="dxa" w:w="3120"/>
            <w:tcMar>
              <w:top w:w="100" w:type="dxa"/>
              <w:bottom w:w="100" w:type="dxa"/>
              <w:left w:w="150" w:type="dxa"/>
              <w:right w:w="150" w:type="dxa"/>
            </w:tcMar>
            <w:shd w:fill="F9FBFC"/>
          </w:tcPr>
          <w:p>
            <w:pPr>
              <w:spacing w:before="40" w:after="40"/>
            </w:pPr>
            <w:r>
              <w:rPr>
                <w:sz w:val="18"/>
              </w:rPr>
              <w:t>AVERAGEX(VALUES(fact_order_items[order_id]), CALCULATE(SUM(fact_order_items[price_brl])))</w:t>
            </w:r>
          </w:p>
        </w:tc>
        <w:tc>
          <w:tcPr>
            <w:tcW w:type="dxa" w:w="3120"/>
            <w:tcMar>
              <w:top w:w="100" w:type="dxa"/>
              <w:bottom w:w="100" w:type="dxa"/>
              <w:left w:w="150" w:type="dxa"/>
              <w:right w:w="150" w:type="dxa"/>
            </w:tcMar>
            <w:shd w:fill="F9FBFC"/>
          </w:tcPr>
          <w:p>
            <w:pPr>
              <w:spacing w:before="40" w:after="40"/>
            </w:pPr>
            <w:r>
              <w:rPr>
                <w:sz w:val="18"/>
              </w:rPr>
              <w:t>Mean basket spend per order.</w:t>
            </w:r>
          </w:p>
        </w:tc>
      </w:tr>
      <w:tr>
        <w:tc>
          <w:tcPr>
            <w:tcW w:type="dxa" w:w="3120"/>
            <w:tcMar>
              <w:top w:w="100" w:type="dxa"/>
              <w:bottom w:w="100" w:type="dxa"/>
              <w:left w:w="150" w:type="dxa"/>
              <w:right w:w="150" w:type="dxa"/>
            </w:tcMar>
            <w:shd w:fill="FFFFFF"/>
          </w:tcPr>
          <w:p>
            <w:pPr>
              <w:spacing w:before="40" w:after="40"/>
            </w:pPr>
            <w:r>
              <w:rPr>
                <w:sz w:val="18"/>
              </w:rPr>
              <w:t>Late Delivery %</w:t>
            </w:r>
          </w:p>
        </w:tc>
        <w:tc>
          <w:tcPr>
            <w:tcW w:type="dxa" w:w="3120"/>
            <w:tcMar>
              <w:top w:w="100" w:type="dxa"/>
              <w:bottom w:w="100" w:type="dxa"/>
              <w:left w:w="150" w:type="dxa"/>
              <w:right w:w="150" w:type="dxa"/>
            </w:tcMar>
            <w:shd w:fill="FFFFFF"/>
          </w:tcPr>
          <w:p>
            <w:pPr>
              <w:spacing w:before="40" w:after="40"/>
            </w:pPr>
            <w:r>
              <w:rPr>
                <w:sz w:val="18"/>
              </w:rPr>
              <w:t>DIVIDE(CALCULATE(COUNTROWS(fact_order_items), fact_order_items[delivery_delay_days] &gt; 0), [Order Item Count], 0) * 100</w:t>
            </w:r>
          </w:p>
        </w:tc>
        <w:tc>
          <w:tcPr>
            <w:tcW w:type="dxa" w:w="3120"/>
            <w:tcMar>
              <w:top w:w="100" w:type="dxa"/>
              <w:bottom w:w="100" w:type="dxa"/>
              <w:left w:w="150" w:type="dxa"/>
              <w:right w:w="150" w:type="dxa"/>
            </w:tcMar>
            <w:shd w:fill="FFFFFF"/>
          </w:tcPr>
          <w:p>
            <w:pPr>
              <w:spacing w:before="40" w:after="40"/>
            </w:pPr>
            <w:r>
              <w:rPr>
                <w:sz w:val="18"/>
              </w:rPr>
              <w:t>Proportion of shipments missing promised SLA.</w:t>
            </w:r>
          </w:p>
        </w:tc>
      </w:tr>
      <w:tr>
        <w:tc>
          <w:tcPr>
            <w:tcW w:type="dxa" w:w="3120"/>
            <w:tcMar>
              <w:top w:w="100" w:type="dxa"/>
              <w:bottom w:w="100" w:type="dxa"/>
              <w:left w:w="150" w:type="dxa"/>
              <w:right w:w="150" w:type="dxa"/>
            </w:tcMar>
            <w:shd w:fill="F9FBFC"/>
          </w:tcPr>
          <w:p>
            <w:pPr>
              <w:spacing w:before="40" w:after="40"/>
            </w:pPr>
            <w:r>
              <w:rPr>
                <w:sz w:val="18"/>
              </w:rPr>
              <w:t>Avg Review Score</w:t>
            </w:r>
          </w:p>
        </w:tc>
        <w:tc>
          <w:tcPr>
            <w:tcW w:type="dxa" w:w="3120"/>
            <w:tcMar>
              <w:top w:w="100" w:type="dxa"/>
              <w:bottom w:w="100" w:type="dxa"/>
              <w:left w:w="150" w:type="dxa"/>
              <w:right w:w="150" w:type="dxa"/>
            </w:tcMar>
            <w:shd w:fill="F9FBFC"/>
          </w:tcPr>
          <w:p>
            <w:pPr>
              <w:spacing w:before="40" w:after="40"/>
            </w:pPr>
            <w:r>
              <w:rPr>
                <w:sz w:val="18"/>
              </w:rPr>
              <w:t>AVERAGE(fact_order_items[review_score])</w:t>
            </w:r>
          </w:p>
        </w:tc>
        <w:tc>
          <w:tcPr>
            <w:tcW w:type="dxa" w:w="3120"/>
            <w:tcMar>
              <w:top w:w="100" w:type="dxa"/>
              <w:bottom w:w="100" w:type="dxa"/>
              <w:left w:w="150" w:type="dxa"/>
              <w:right w:w="150" w:type="dxa"/>
            </w:tcMar>
            <w:shd w:fill="F9FBFC"/>
          </w:tcPr>
          <w:p>
            <w:pPr>
              <w:spacing w:before="40" w:after="40"/>
            </w:pPr>
            <w:r>
              <w:rPr>
                <w:sz w:val="18"/>
              </w:rPr>
              <w:t>Overall customer satisfaction index (1.00-5.00).</w:t>
            </w:r>
          </w:p>
        </w:tc>
      </w:tr>
    </w:tbl>
    <w:p>
      <w:pPr>
        <w:pStyle w:val="Heading2"/>
      </w:pPr>
      <w:r>
        <w:t>7.2 Power BI Dashboard Specification (3 Pages)</w:t>
      </w:r>
    </w:p>
    <w:p>
      <w:r>
        <w:t>• Page 1: Executive Summary – KPI cards (Total Revenue R$ 13.59M, 98.6K Orders, 4.03 Review Score, 6.58% Late Rate), monthly GMV trend sparkline, and review score distribution gauge.</w:t>
        <w:br/>
        <w:t>• Page 2: Trend Analysis – Dual-axis monthly revenue vs late delivery percentage line chart, top 15 category horizontal bar chart, and delay vs review correlation scatter plot.</w:t>
        <w:br/>
        <w:t>• Page 3: Interactive Geographic Analysis – Spatial bubble map plotting coordinates with volume-weighted radii, state-level freight ratio bar charts, and multi-level drill-down matrices.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200" w:type="dxa"/>
              <w:right w:w="200" w:type="dxa"/>
            </w:tcMar>
            <w:tcBorders>
              <w:left w:val="single" w:sz="24" w:space="0" w:color="005691"/>
              <w:top w:val="none"/>
              <w:right w:val="none"/>
              <w:bottom w:val="none"/>
            </w:tcBorders>
          </w:tcPr>
          <w:p>
            <w:pPr>
              <w:spacing w:before="80" w:after="80"/>
            </w:pPr>
            <w:r>
              <w:rPr>
                <w:b/>
                <w:color w:val="005691"/>
              </w:rPr>
              <w:t xml:space="preserve">[POWER BI CONNECTION] </w:t>
            </w:r>
            <w:r>
              <w:rPr>
                <w:sz w:val="20"/>
              </w:rPr>
              <w:t>Power BI can be launched immediately by double-clicking powerbi/OlistDW_DirectQuery.pbids or powerbi/OlistDW_Import.pbids.</w:t>
            </w:r>
          </w:p>
        </w:tc>
      </w:tr>
    </w:tbl>
    <w:p>
      <w:pPr>
        <w:spacing w:after="80"/>
      </w:pPr>
    </w:p>
    <w:p>
      <w:r>
        <w:br w:type="page"/>
      </w:r>
    </w:p>
    <w:p>
      <w:pPr>
        <w:pStyle w:val="Heading1"/>
      </w:pPr>
      <w:r>
        <w:t>Task 8: Business Insights and Strategic Recommendations</w:t>
      </w:r>
    </w:p>
    <w:p>
      <w:pPr>
        <w:pStyle w:val="Heading2"/>
      </w:pPr>
      <w:r>
        <w:t>Insight 1: Shipping Delay is the Single Largest Predictor of Rating Collapse</w:t>
      </w:r>
    </w:p>
    <w:p>
      <w:r>
        <w:t>• Empirical Evidence (docs/h1_delay_vs_review.csv): Deliveries arriving &gt;7 days early score an average of 4.27/5.00 (83,506 items). On-time deliveries maintain 4.08/5.00. However, when an order is 1–7 days late, the average review score drops to 2.24/5.00. For orders &gt;7 days late, ratings collapse to 1.62/5.00.</w:t>
        <w:br/>
        <w:t>• Recommendation: Implement automated carrier warning alerts when transit exceeds 75% of the estimated window. Trigger automated apology credits prior to review survey issuance.</w:t>
      </w:r>
    </w:p>
    <w:p>
      <w:pPr>
        <w:pStyle w:val="Heading2"/>
      </w:pPr>
      <w:r>
        <w:t>Insight 2: Severe Regional Freight Inequity in Peripheral Northern States</w:t>
      </w:r>
    </w:p>
    <w:p>
      <w:r>
        <w:t>• Empirical Evidence (docs/h2_freight_by_state.csv): In São Paulo (SP), freight averages R$ 15.15 (13.5% of item price). In peripheral states, freight cost ratios are crippling: Paraíba (PB) averages R$ 42.71 (35.7% of price), Roraima (RR) R$ 42.98 (36.5%), and Maranhão (MA) R$ 38.26 (32.4%).</w:t>
        <w:br/>
        <w:t>• Recommendation: Partner with regional 3PL carriers to establish micro-fulfillment cross-dock hubs in Recife and Salvador, subsidizing peripheral line-haul legs.</w:t>
      </w:r>
    </w:p>
    <w:p>
      <w:pPr>
        <w:pStyle w:val="Heading2"/>
      </w:pPr>
      <w:r>
        <w:t>Insight 3: Q4 Black Friday Seasonality Generates 146% Revenue Surges</w:t>
      </w:r>
    </w:p>
    <w:p>
      <w:r>
        <w:t>• Empirical Evidence (docs/h3_monthly_revenue.csv): Monthly revenue in early 2017 averaged R$ 120,000–R$ 400,000. In November 2017 (Black Friday), gross revenue surged to R$ 1,010,271.37 across 7,289 orders (a 146% jump over October).</w:t>
        <w:br/>
        <w:t>• Recommendation: Enforce mandatory carrier capacity lock-ins and merchant inventory buffer minimums 60 days prior to Q4.</w:t>
      </w:r>
    </w:p>
    <w:p>
      <w:pPr>
        <w:pStyle w:val="Heading2"/>
      </w:pPr>
      <w:r>
        <w:t>Insight 4: 80/20 Concentration of Late Deliveries in Chronic Repeat Sellers</w:t>
      </w:r>
    </w:p>
    <w:p>
      <w:r>
        <w:t>• Empirical Evidence (docs/h4_late_sellers.csv): Out of 3,095 active merchants, the top 20 delinquent sellers account for a massive share of late shipments. Seller 4a3ca9315b744ce9f4e93744c0c5ae81 accumulated 379 late deliveries (20.9% failure rate), while 1f50f39ac98c342f6d057da81330c985 recorded 225 late orders.</w:t>
        <w:br/>
        <w:t>• Recommendation: Establish a Seller Performance Tiering policy. Merchants exceeding a 10% late shipping threshold should face algorithmic catalog demotion.</w:t>
      </w:r>
    </w:p>
    <w:p>
      <w:pPr>
        <w:pStyle w:val="Heading2"/>
      </w:pPr>
      <w:r>
        <w:t>Insight 5: Category Defect Rates Suppress Ratings Independent of Logistics</w:t>
      </w:r>
    </w:p>
    <w:p>
      <w:r>
        <w:t>• Empirical Evidence (docs/h5_category_reviews.csv): Office Furniture generated an average review score of only 3.49/5.00 across 1,677 orders despite arriving an average of 11.86 days early. Male Fashion Clothing scored 3.64/5.00 despite arriving 12.86 days early. Conversely, Books General Interest scored 4.45/5.00 under identical shipping times.</w:t>
        <w:br/>
        <w:t>• Recommendation: Enforce mandatory dimension assembly diagrams and video manuals on furniture listings, and standardized size charts on apparel.</w:t>
      </w:r>
    </w:p>
    <w:p>
      <w:pPr>
        <w:pStyle w:val="Heading2"/>
      </w:pPr>
      <w:r>
        <w:t>8.1 Strategic Roadmap Matrix</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005691"/>
          </w:tcPr>
          <w:p>
            <w:pPr>
              <w:spacing w:before="40" w:after="40"/>
            </w:pPr>
            <w:r>
              <w:rPr>
                <w:b/>
                <w:color w:val="FFFFFF"/>
                <w:sz w:val="19"/>
              </w:rPr>
              <w:t>Timeframe</w:t>
            </w:r>
          </w:p>
        </w:tc>
        <w:tc>
          <w:tcPr>
            <w:tcW w:type="dxa" w:w="2340"/>
            <w:tcMar>
              <w:top w:w="100" w:type="dxa"/>
              <w:bottom w:w="100" w:type="dxa"/>
              <w:left w:w="150" w:type="dxa"/>
              <w:right w:w="150" w:type="dxa"/>
            </w:tcMar>
            <w:shd w:fill="005691"/>
          </w:tcPr>
          <w:p>
            <w:pPr>
              <w:spacing w:before="40" w:after="40"/>
            </w:pPr>
            <w:r>
              <w:rPr>
                <w:b/>
                <w:color w:val="FFFFFF"/>
                <w:sz w:val="19"/>
              </w:rPr>
              <w:t>Initiative</w:t>
            </w:r>
          </w:p>
        </w:tc>
        <w:tc>
          <w:tcPr>
            <w:tcW w:type="dxa" w:w="2340"/>
            <w:tcMar>
              <w:top w:w="100" w:type="dxa"/>
              <w:bottom w:w="100" w:type="dxa"/>
              <w:left w:w="150" w:type="dxa"/>
              <w:right w:w="150" w:type="dxa"/>
            </w:tcMar>
            <w:shd w:fill="005691"/>
          </w:tcPr>
          <w:p>
            <w:pPr>
              <w:spacing w:before="40" w:after="40"/>
            </w:pPr>
            <w:r>
              <w:rPr>
                <w:b/>
                <w:color w:val="FFFFFF"/>
                <w:sz w:val="19"/>
              </w:rPr>
              <w:t>Target Objective</w:t>
            </w:r>
          </w:p>
        </w:tc>
        <w:tc>
          <w:tcPr>
            <w:tcW w:type="dxa" w:w="2340"/>
            <w:tcMar>
              <w:top w:w="100" w:type="dxa"/>
              <w:bottom w:w="100" w:type="dxa"/>
              <w:left w:w="150" w:type="dxa"/>
              <w:right w:w="150" w:type="dxa"/>
            </w:tcMar>
            <w:shd w:fill="005691"/>
          </w:tcPr>
          <w:p>
            <w:pPr>
              <w:spacing w:before="40" w:after="40"/>
            </w:pPr>
            <w:r>
              <w:rPr>
                <w:b/>
                <w:color w:val="FFFFFF"/>
                <w:sz w:val="19"/>
              </w:rPr>
              <w:t>Owner</w:t>
            </w:r>
          </w:p>
        </w:tc>
      </w:tr>
      <w:tr>
        <w:tc>
          <w:tcPr>
            <w:tcW w:type="dxa" w:w="2340"/>
            <w:tcMar>
              <w:top w:w="100" w:type="dxa"/>
              <w:bottom w:w="100" w:type="dxa"/>
              <w:left w:w="150" w:type="dxa"/>
              <w:right w:w="150" w:type="dxa"/>
            </w:tcMar>
            <w:shd w:fill="FFFFFF"/>
          </w:tcPr>
          <w:p>
            <w:pPr>
              <w:spacing w:before="40" w:after="40"/>
            </w:pPr>
            <w:r>
              <w:rPr>
                <w:sz w:val="18"/>
              </w:rPr>
              <w:t>Immediate (30 Days)</w:t>
            </w:r>
          </w:p>
        </w:tc>
        <w:tc>
          <w:tcPr>
            <w:tcW w:type="dxa" w:w="2340"/>
            <w:tcMar>
              <w:top w:w="100" w:type="dxa"/>
              <w:bottom w:w="100" w:type="dxa"/>
              <w:left w:w="150" w:type="dxa"/>
              <w:right w:w="150" w:type="dxa"/>
            </w:tcMar>
            <w:shd w:fill="FFFFFF"/>
          </w:tcPr>
          <w:p>
            <w:pPr>
              <w:spacing w:before="40" w:after="40"/>
            </w:pPr>
            <w:r>
              <w:rPr>
                <w:sz w:val="18"/>
              </w:rPr>
              <w:t>Throttle catalog exposure for top 20 chronic late sellers</w:t>
            </w:r>
          </w:p>
        </w:tc>
        <w:tc>
          <w:tcPr>
            <w:tcW w:type="dxa" w:w="2340"/>
            <w:tcMar>
              <w:top w:w="100" w:type="dxa"/>
              <w:bottom w:w="100" w:type="dxa"/>
              <w:left w:w="150" w:type="dxa"/>
              <w:right w:w="150" w:type="dxa"/>
            </w:tcMar>
            <w:shd w:fill="FFFFFF"/>
          </w:tcPr>
          <w:p>
            <w:pPr>
              <w:spacing w:before="40" w:after="40"/>
            </w:pPr>
            <w:r>
              <w:rPr>
                <w:sz w:val="18"/>
              </w:rPr>
              <w:t>Lower marketplace late rate &lt; 5%</w:t>
            </w:r>
          </w:p>
        </w:tc>
        <w:tc>
          <w:tcPr>
            <w:tcW w:type="dxa" w:w="2340"/>
            <w:tcMar>
              <w:top w:w="100" w:type="dxa"/>
              <w:bottom w:w="100" w:type="dxa"/>
              <w:left w:w="150" w:type="dxa"/>
              <w:right w:w="150" w:type="dxa"/>
            </w:tcMar>
            <w:shd w:fill="FFFFFF"/>
          </w:tcPr>
          <w:p>
            <w:pPr>
              <w:spacing w:before="40" w:after="40"/>
            </w:pPr>
            <w:r>
              <w:rPr>
                <w:sz w:val="18"/>
              </w:rPr>
              <w:t>VP Merchant Operations</w:t>
            </w:r>
          </w:p>
        </w:tc>
      </w:tr>
      <w:tr>
        <w:tc>
          <w:tcPr>
            <w:tcW w:type="dxa" w:w="2340"/>
            <w:tcMar>
              <w:top w:w="100" w:type="dxa"/>
              <w:bottom w:w="100" w:type="dxa"/>
              <w:left w:w="150" w:type="dxa"/>
              <w:right w:w="150" w:type="dxa"/>
            </w:tcMar>
            <w:shd w:fill="F9FBFC"/>
          </w:tcPr>
          <w:p>
            <w:pPr>
              <w:spacing w:before="40" w:after="40"/>
            </w:pPr>
            <w:r>
              <w:rPr>
                <w:sz w:val="18"/>
              </w:rPr>
              <w:t>Short-Term (90 Days)</w:t>
            </w:r>
          </w:p>
        </w:tc>
        <w:tc>
          <w:tcPr>
            <w:tcW w:type="dxa" w:w="2340"/>
            <w:tcMar>
              <w:top w:w="100" w:type="dxa"/>
              <w:bottom w:w="100" w:type="dxa"/>
              <w:left w:w="150" w:type="dxa"/>
              <w:right w:w="150" w:type="dxa"/>
            </w:tcMar>
            <w:shd w:fill="F9FBFC"/>
          </w:tcPr>
          <w:p>
            <w:pPr>
              <w:spacing w:before="40" w:after="40"/>
            </w:pPr>
            <w:r>
              <w:rPr>
                <w:sz w:val="18"/>
              </w:rPr>
              <w:t>Deploy automated proactive pre-delay SMS alerts &amp; vouchers</w:t>
            </w:r>
          </w:p>
        </w:tc>
        <w:tc>
          <w:tcPr>
            <w:tcW w:type="dxa" w:w="2340"/>
            <w:tcMar>
              <w:top w:w="100" w:type="dxa"/>
              <w:bottom w:w="100" w:type="dxa"/>
              <w:left w:w="150" w:type="dxa"/>
              <w:right w:w="150" w:type="dxa"/>
            </w:tcMar>
            <w:shd w:fill="F9FBFC"/>
          </w:tcPr>
          <w:p>
            <w:pPr>
              <w:spacing w:before="40" w:after="40"/>
            </w:pPr>
            <w:r>
              <w:rPr>
                <w:sz w:val="18"/>
              </w:rPr>
              <w:t>Lift late delivery review scores &gt; 3.00</w:t>
            </w:r>
          </w:p>
        </w:tc>
        <w:tc>
          <w:tcPr>
            <w:tcW w:type="dxa" w:w="2340"/>
            <w:tcMar>
              <w:top w:w="100" w:type="dxa"/>
              <w:bottom w:w="100" w:type="dxa"/>
              <w:left w:w="150" w:type="dxa"/>
              <w:right w:w="150" w:type="dxa"/>
            </w:tcMar>
            <w:shd w:fill="F9FBFC"/>
          </w:tcPr>
          <w:p>
            <w:pPr>
              <w:spacing w:before="40" w:after="40"/>
            </w:pPr>
            <w:r>
              <w:rPr>
                <w:sz w:val="18"/>
              </w:rPr>
              <w:t>Head of Customer Experience</w:t>
            </w:r>
          </w:p>
        </w:tc>
      </w:tr>
      <w:tr>
        <w:tc>
          <w:tcPr>
            <w:tcW w:type="dxa" w:w="2340"/>
            <w:tcMar>
              <w:top w:w="100" w:type="dxa"/>
              <w:bottom w:w="100" w:type="dxa"/>
              <w:left w:w="150" w:type="dxa"/>
              <w:right w:w="150" w:type="dxa"/>
            </w:tcMar>
            <w:shd w:fill="FFFFFF"/>
          </w:tcPr>
          <w:p>
            <w:pPr>
              <w:spacing w:before="40" w:after="40"/>
            </w:pPr>
            <w:r>
              <w:rPr>
                <w:sz w:val="18"/>
              </w:rPr>
              <w:t>Medium-Term (180 Days)</w:t>
            </w:r>
          </w:p>
        </w:tc>
        <w:tc>
          <w:tcPr>
            <w:tcW w:type="dxa" w:w="2340"/>
            <w:tcMar>
              <w:top w:w="100" w:type="dxa"/>
              <w:bottom w:w="100" w:type="dxa"/>
              <w:left w:w="150" w:type="dxa"/>
              <w:right w:w="150" w:type="dxa"/>
            </w:tcMar>
            <w:shd w:fill="FFFFFF"/>
          </w:tcPr>
          <w:p>
            <w:pPr>
              <w:spacing w:before="40" w:after="40"/>
            </w:pPr>
            <w:r>
              <w:rPr>
                <w:sz w:val="18"/>
              </w:rPr>
              <w:t>Require assembly video manuals for Office Furniture sellers</w:t>
            </w:r>
          </w:p>
        </w:tc>
        <w:tc>
          <w:tcPr>
            <w:tcW w:type="dxa" w:w="2340"/>
            <w:tcMar>
              <w:top w:w="100" w:type="dxa"/>
              <w:bottom w:w="100" w:type="dxa"/>
              <w:left w:w="150" w:type="dxa"/>
              <w:right w:w="150" w:type="dxa"/>
            </w:tcMar>
            <w:shd w:fill="FFFFFF"/>
          </w:tcPr>
          <w:p>
            <w:pPr>
              <w:spacing w:before="40" w:after="40"/>
            </w:pPr>
            <w:r>
              <w:rPr>
                <w:sz w:val="18"/>
              </w:rPr>
              <w:t>Elevate furniture review score &gt; 4.00</w:t>
            </w:r>
          </w:p>
        </w:tc>
        <w:tc>
          <w:tcPr>
            <w:tcW w:type="dxa" w:w="2340"/>
            <w:tcMar>
              <w:top w:w="100" w:type="dxa"/>
              <w:bottom w:w="100" w:type="dxa"/>
              <w:left w:w="150" w:type="dxa"/>
              <w:right w:w="150" w:type="dxa"/>
            </w:tcMar>
            <w:shd w:fill="FFFFFF"/>
          </w:tcPr>
          <w:p>
            <w:pPr>
              <w:spacing w:before="40" w:after="40"/>
            </w:pPr>
            <w:r>
              <w:rPr>
                <w:sz w:val="18"/>
              </w:rPr>
              <w:t>Category Merchandising Lead</w:t>
            </w:r>
          </w:p>
        </w:tc>
      </w:tr>
      <w:tr>
        <w:tc>
          <w:tcPr>
            <w:tcW w:type="dxa" w:w="2340"/>
            <w:tcMar>
              <w:top w:w="100" w:type="dxa"/>
              <w:bottom w:w="100" w:type="dxa"/>
              <w:left w:w="150" w:type="dxa"/>
              <w:right w:w="150" w:type="dxa"/>
            </w:tcMar>
            <w:shd w:fill="F9FBFC"/>
          </w:tcPr>
          <w:p>
            <w:pPr>
              <w:spacing w:before="40" w:after="40"/>
            </w:pPr>
            <w:r>
              <w:rPr>
                <w:sz w:val="18"/>
              </w:rPr>
              <w:t>Long-Term (365 Days)</w:t>
            </w:r>
          </w:p>
        </w:tc>
        <w:tc>
          <w:tcPr>
            <w:tcW w:type="dxa" w:w="2340"/>
            <w:tcMar>
              <w:top w:w="100" w:type="dxa"/>
              <w:bottom w:w="100" w:type="dxa"/>
              <w:left w:w="150" w:type="dxa"/>
              <w:right w:w="150" w:type="dxa"/>
            </w:tcMar>
            <w:shd w:fill="F9FBFC"/>
          </w:tcPr>
          <w:p>
            <w:pPr>
              <w:spacing w:before="40" w:after="40"/>
            </w:pPr>
            <w:r>
              <w:rPr>
                <w:sz w:val="18"/>
              </w:rPr>
              <w:t>Construct Northeast regional fulfillment consolidation hubs</w:t>
            </w:r>
          </w:p>
        </w:tc>
        <w:tc>
          <w:tcPr>
            <w:tcW w:type="dxa" w:w="2340"/>
            <w:tcMar>
              <w:top w:w="100" w:type="dxa"/>
              <w:bottom w:w="100" w:type="dxa"/>
              <w:left w:w="150" w:type="dxa"/>
              <w:right w:w="150" w:type="dxa"/>
            </w:tcMar>
            <w:shd w:fill="F9FBFC"/>
          </w:tcPr>
          <w:p>
            <w:pPr>
              <w:spacing w:before="40" w:after="40"/>
            </w:pPr>
            <w:r>
              <w:rPr>
                <w:sz w:val="18"/>
              </w:rPr>
              <w:t>Reduce peripheral freight ratio &lt; 20%</w:t>
            </w:r>
          </w:p>
        </w:tc>
        <w:tc>
          <w:tcPr>
            <w:tcW w:type="dxa" w:w="2340"/>
            <w:tcMar>
              <w:top w:w="100" w:type="dxa"/>
              <w:bottom w:w="100" w:type="dxa"/>
              <w:left w:w="150" w:type="dxa"/>
              <w:right w:w="150" w:type="dxa"/>
            </w:tcMar>
            <w:shd w:fill="F9FBFC"/>
          </w:tcPr>
          <w:p>
            <w:pPr>
              <w:spacing w:before="40" w:after="40"/>
            </w:pPr>
            <w:r>
              <w:rPr>
                <w:sz w:val="18"/>
              </w:rPr>
              <w:t>Chief Logistics Officer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