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sz w:val="42"/>
        </w:rPr>
        <w:t>Sri Lanka Institute of Information</w:t>
        <w:br/>
        <w:t>Technology</w:t>
      </w:r>
    </w:p>
    <w:p>
      <w:pPr>
        <w:spacing w:after="440"/>
        <w:jc w:val="center"/>
      </w:pPr>
      <w:r>
        <w:drawing>
          <wp:inline xmlns:a="http://schemas.openxmlformats.org/drawingml/2006/main" xmlns:pic="http://schemas.openxmlformats.org/drawingml/2006/picture">
            <wp:extent cx="1353312" cy="174940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53312" cy="1749403"/>
                    </a:xfrm>
                    <a:prstGeom prst="rect"/>
                  </pic:spPr>
                </pic:pic>
              </a:graphicData>
            </a:graphic>
          </wp:inline>
        </w:drawing>
      </w:r>
    </w:p>
    <w:p>
      <w:pPr>
        <w:spacing w:after="160"/>
        <w:jc w:val="center"/>
      </w:pPr>
      <w:r>
        <w:rPr>
          <w:rFonts w:ascii="Times New Roman" w:hAnsi="Times New Roman"/>
          <w:b/>
          <w:color w:val="123466"/>
          <w:sz w:val="36"/>
        </w:rPr>
        <w:t>DESIGN PATTERN IMPLEMENTATION REPORT</w:t>
      </w:r>
    </w:p>
    <w:p>
      <w:pPr>
        <w:spacing w:after="360"/>
        <w:jc w:val="center"/>
      </w:pPr>
      <w:r>
        <w:rPr>
          <w:rFonts w:ascii="Times New Roman" w:hAnsi="Times New Roman"/>
          <w:b/>
          <w:color w:val="123466"/>
          <w:sz w:val="27"/>
        </w:rPr>
        <w:t>Web-Based Library Management System</w:t>
      </w:r>
    </w:p>
    <w:p>
      <w:pPr>
        <w:spacing w:after="60"/>
        <w:jc w:val="center"/>
      </w:pPr>
      <w:r>
        <w:rPr>
          <w:rFonts w:ascii="Times New Roman" w:hAnsi="Times New Roman"/>
          <w:sz w:val="21"/>
        </w:rPr>
        <w:t>SE2030 - Software Engineering</w:t>
      </w:r>
    </w:p>
    <w:p>
      <w:pPr>
        <w:spacing w:after="60"/>
        <w:jc w:val="center"/>
      </w:pPr>
      <w:r>
        <w:rPr>
          <w:rFonts w:ascii="Times New Roman" w:hAnsi="Times New Roman"/>
          <w:sz w:val="21"/>
        </w:rPr>
        <w:t>Group ID: 2026-Y2-S1-MLB-B10G2-09</w:t>
      </w:r>
    </w:p>
    <w:p>
      <w:pPr>
        <w:spacing w:after="60"/>
        <w:jc w:val="center"/>
      </w:pPr>
      <w:r>
        <w:rPr>
          <w:rFonts w:ascii="Times New Roman" w:hAnsi="Times New Roman"/>
          <w:sz w:val="21"/>
        </w:rPr>
        <w:t>Final Presentation Preparation - October 2026</w:t>
      </w:r>
    </w:p>
    <w:p>
      <w:pPr>
        <w:spacing w:before="440" w:after="160"/>
        <w:jc w:val="center"/>
      </w:pPr>
      <w:r>
        <w:rPr>
          <w:rFonts w:ascii="Times New Roman" w:hAnsi="Times New Roman"/>
          <w:b/>
          <w:sz w:val="25"/>
        </w:rPr>
        <w:t>Implemented Pattern: Observer Design Pattern</w:t>
      </w:r>
    </w:p>
    <w:tbl>
      <w:tblPr>
        <w:tblW w:type="auto" w:w="0"/>
        <w:jc w:val="center"/>
        <w:tblLook w:firstColumn="1" w:firstRow="1" w:lastColumn="0" w:lastRow="0" w:noHBand="0" w:noVBand="1" w:val="04A0"/>
        <w:tblBorders>
          <w:top w:val="single" w:sz="7" w:color="000000"/>
          <w:left w:val="single" w:sz="7" w:color="000000"/>
          <w:bottom w:val="single" w:sz="7" w:color="000000"/>
          <w:right w:val="single" w:sz="7" w:color="000000"/>
          <w:insideH w:val="single" w:sz="7" w:color="000000"/>
          <w:insideV w:val="single" w:sz="7" w:color="000000"/>
        </w:tblBorders>
      </w:tblPr>
      <w:tblGrid>
        <w:gridCol w:w="3298"/>
        <w:gridCol w:w="3298"/>
        <w:gridCol w:w="3298"/>
      </w:tblGrid>
      <w:tr>
        <w:tc>
          <w:tcPr>
            <w:tcW w:type="dxa" w:w="3298"/>
            <w:vAlign w:val="center"/>
            <w:shd w:fill="EAEFF5"/>
          </w:tcPr>
          <w:p>
            <w:pPr>
              <w:spacing w:after="0" w:line="240" w:lineRule="auto"/>
              <w:jc w:val="center"/>
            </w:pPr>
            <w:r/>
            <w:r>
              <w:rPr>
                <w:rFonts w:ascii="Times New Roman" w:hAnsi="Times New Roman" w:eastAsia="Times New Roman"/>
                <w:b/>
                <w:sz w:val="18"/>
              </w:rPr>
              <w:t>Student ID</w:t>
            </w:r>
          </w:p>
        </w:tc>
        <w:tc>
          <w:tcPr>
            <w:tcW w:type="dxa" w:w="3298"/>
            <w:vAlign w:val="center"/>
            <w:shd w:fill="EAEFF5"/>
          </w:tcPr>
          <w:p>
            <w:pPr>
              <w:spacing w:after="0" w:line="240" w:lineRule="auto"/>
              <w:jc w:val="center"/>
            </w:pPr>
            <w:r/>
            <w:r>
              <w:rPr>
                <w:rFonts w:ascii="Times New Roman" w:hAnsi="Times New Roman" w:eastAsia="Times New Roman"/>
                <w:b/>
                <w:sz w:val="18"/>
              </w:rPr>
              <w:t>Name</w:t>
            </w:r>
          </w:p>
        </w:tc>
        <w:tc>
          <w:tcPr>
            <w:tcW w:type="dxa" w:w="3298"/>
            <w:vAlign w:val="center"/>
            <w:shd w:fill="EAEFF5"/>
          </w:tcPr>
          <w:p>
            <w:pPr>
              <w:spacing w:after="0" w:line="240" w:lineRule="auto"/>
              <w:jc w:val="center"/>
            </w:pPr>
            <w:r/>
            <w:r>
              <w:rPr>
                <w:rFonts w:ascii="Times New Roman" w:hAnsi="Times New Roman" w:eastAsia="Times New Roman"/>
                <w:b/>
                <w:sz w:val="18"/>
              </w:rPr>
              <w:t>Assigned Major Function</w:t>
            </w:r>
          </w:p>
        </w:tc>
      </w:tr>
      <w:tr>
        <w:tc>
          <w:tcPr>
            <w:tcW w:type="dxa" w:w="3298"/>
            <w:vAlign w:val="center"/>
          </w:tcPr>
          <w:p>
            <w:pPr>
              <w:spacing w:after="0" w:line="240" w:lineRule="auto"/>
              <w:jc w:val="left"/>
            </w:pPr>
            <w:r/>
            <w:r>
              <w:rPr>
                <w:rFonts w:ascii="Times New Roman" w:hAnsi="Times New Roman" w:eastAsia="Times New Roman"/>
                <w:b w:val="0"/>
                <w:sz w:val="17"/>
              </w:rPr>
              <w:t>IT25101473</w:t>
            </w:r>
          </w:p>
        </w:tc>
        <w:tc>
          <w:tcPr>
            <w:tcW w:type="dxa" w:w="3298"/>
            <w:vAlign w:val="center"/>
          </w:tcPr>
          <w:p>
            <w:pPr>
              <w:spacing w:after="0" w:line="240" w:lineRule="auto"/>
              <w:jc w:val="left"/>
            </w:pPr>
            <w:r/>
            <w:r>
              <w:rPr>
                <w:rFonts w:ascii="Times New Roman" w:hAnsi="Times New Roman" w:eastAsia="Times New Roman"/>
                <w:b w:val="0"/>
                <w:sz w:val="17"/>
              </w:rPr>
              <w:t>Ahamed M.S.S.</w:t>
            </w:r>
          </w:p>
        </w:tc>
        <w:tc>
          <w:tcPr>
            <w:tcW w:type="dxa" w:w="3298"/>
            <w:vAlign w:val="center"/>
          </w:tcPr>
          <w:p>
            <w:pPr>
              <w:spacing w:after="0" w:line="240" w:lineRule="auto"/>
              <w:jc w:val="left"/>
            </w:pPr>
            <w:r/>
            <w:r>
              <w:rPr>
                <w:rFonts w:ascii="Times New Roman" w:hAnsi="Times New Roman" w:eastAsia="Times New Roman"/>
                <w:b w:val="0"/>
                <w:sz w:val="17"/>
              </w:rPr>
              <w:t>User Authentication and User Management</w:t>
            </w:r>
          </w:p>
        </w:tc>
      </w:tr>
      <w:tr>
        <w:tc>
          <w:tcPr>
            <w:tcW w:type="dxa" w:w="3298"/>
            <w:vAlign w:val="center"/>
          </w:tcPr>
          <w:p>
            <w:pPr>
              <w:spacing w:after="0" w:line="240" w:lineRule="auto"/>
              <w:jc w:val="left"/>
            </w:pPr>
            <w:r/>
            <w:r>
              <w:rPr>
                <w:rFonts w:ascii="Times New Roman" w:hAnsi="Times New Roman" w:eastAsia="Times New Roman"/>
                <w:b w:val="0"/>
                <w:sz w:val="17"/>
              </w:rPr>
              <w:t>IT25102278</w:t>
            </w:r>
          </w:p>
        </w:tc>
        <w:tc>
          <w:tcPr>
            <w:tcW w:type="dxa" w:w="3298"/>
            <w:vAlign w:val="center"/>
          </w:tcPr>
          <w:p>
            <w:pPr>
              <w:spacing w:after="0" w:line="240" w:lineRule="auto"/>
              <w:jc w:val="left"/>
            </w:pPr>
            <w:r/>
            <w:r>
              <w:rPr>
                <w:rFonts w:ascii="Times New Roman" w:hAnsi="Times New Roman" w:eastAsia="Times New Roman"/>
                <w:b w:val="0"/>
                <w:sz w:val="17"/>
              </w:rPr>
              <w:t>Koswatta A.C.W.W.M.R.</w:t>
            </w:r>
          </w:p>
        </w:tc>
        <w:tc>
          <w:tcPr>
            <w:tcW w:type="dxa" w:w="3298"/>
            <w:vAlign w:val="center"/>
          </w:tcPr>
          <w:p>
            <w:pPr>
              <w:spacing w:after="0" w:line="240" w:lineRule="auto"/>
              <w:jc w:val="left"/>
            </w:pPr>
            <w:r/>
            <w:r>
              <w:rPr>
                <w:rFonts w:ascii="Times New Roman" w:hAnsi="Times New Roman" w:eastAsia="Times New Roman"/>
                <w:b w:val="0"/>
                <w:sz w:val="17"/>
              </w:rPr>
              <w:t>Borrowing and Issuing Management</w:t>
            </w:r>
          </w:p>
        </w:tc>
      </w:tr>
      <w:tr>
        <w:tc>
          <w:tcPr>
            <w:tcW w:type="dxa" w:w="3298"/>
            <w:vAlign w:val="center"/>
          </w:tcPr>
          <w:p>
            <w:pPr>
              <w:spacing w:after="0" w:line="240" w:lineRule="auto"/>
              <w:jc w:val="left"/>
            </w:pPr>
            <w:r/>
            <w:r>
              <w:rPr>
                <w:rFonts w:ascii="Times New Roman" w:hAnsi="Times New Roman" w:eastAsia="Times New Roman"/>
                <w:b w:val="0"/>
                <w:sz w:val="17"/>
              </w:rPr>
              <w:t>IT25103242</w:t>
            </w:r>
          </w:p>
        </w:tc>
        <w:tc>
          <w:tcPr>
            <w:tcW w:type="dxa" w:w="3298"/>
            <w:vAlign w:val="center"/>
          </w:tcPr>
          <w:p>
            <w:pPr>
              <w:spacing w:after="0" w:line="240" w:lineRule="auto"/>
              <w:jc w:val="left"/>
            </w:pPr>
            <w:r/>
            <w:r>
              <w:rPr>
                <w:rFonts w:ascii="Times New Roman" w:hAnsi="Times New Roman" w:eastAsia="Times New Roman"/>
                <w:b w:val="0"/>
                <w:sz w:val="17"/>
              </w:rPr>
              <w:t>Andrewdilan T.</w:t>
            </w:r>
          </w:p>
        </w:tc>
        <w:tc>
          <w:tcPr>
            <w:tcW w:type="dxa" w:w="3298"/>
            <w:vAlign w:val="center"/>
          </w:tcPr>
          <w:p>
            <w:pPr>
              <w:spacing w:after="0" w:line="240" w:lineRule="auto"/>
              <w:jc w:val="left"/>
            </w:pPr>
            <w:r/>
            <w:r>
              <w:rPr>
                <w:rFonts w:ascii="Times New Roman" w:hAnsi="Times New Roman" w:eastAsia="Times New Roman"/>
                <w:b w:val="0"/>
                <w:sz w:val="17"/>
              </w:rPr>
              <w:t>Return and Fine Management</w:t>
            </w:r>
          </w:p>
        </w:tc>
      </w:tr>
      <w:tr>
        <w:tc>
          <w:tcPr>
            <w:tcW w:type="dxa" w:w="3298"/>
            <w:vAlign w:val="center"/>
          </w:tcPr>
          <w:p>
            <w:pPr>
              <w:spacing w:after="0" w:line="240" w:lineRule="auto"/>
              <w:jc w:val="left"/>
            </w:pPr>
            <w:r/>
            <w:r>
              <w:rPr>
                <w:rFonts w:ascii="Times New Roman" w:hAnsi="Times New Roman" w:eastAsia="Times New Roman"/>
                <w:b w:val="0"/>
                <w:sz w:val="17"/>
              </w:rPr>
              <w:t>IT25100725</w:t>
            </w:r>
          </w:p>
        </w:tc>
        <w:tc>
          <w:tcPr>
            <w:tcW w:type="dxa" w:w="3298"/>
            <w:vAlign w:val="center"/>
          </w:tcPr>
          <w:p>
            <w:pPr>
              <w:spacing w:after="0" w:line="240" w:lineRule="auto"/>
              <w:jc w:val="left"/>
            </w:pPr>
            <w:r/>
            <w:r>
              <w:rPr>
                <w:rFonts w:ascii="Times New Roman" w:hAnsi="Times New Roman" w:eastAsia="Times New Roman"/>
                <w:b w:val="0"/>
                <w:sz w:val="17"/>
              </w:rPr>
              <w:t>Fernando K.M.D.</w:t>
            </w:r>
          </w:p>
        </w:tc>
        <w:tc>
          <w:tcPr>
            <w:tcW w:type="dxa" w:w="3298"/>
            <w:vAlign w:val="center"/>
          </w:tcPr>
          <w:p>
            <w:pPr>
              <w:spacing w:after="0" w:line="240" w:lineRule="auto"/>
              <w:jc w:val="left"/>
            </w:pPr>
            <w:r/>
            <w:r>
              <w:rPr>
                <w:rFonts w:ascii="Times New Roman" w:hAnsi="Times New Roman" w:eastAsia="Times New Roman"/>
                <w:b w:val="0"/>
                <w:sz w:val="17"/>
              </w:rPr>
              <w:t>Administration, Reports, and Notification Management</w:t>
            </w:r>
          </w:p>
        </w:tc>
      </w:tr>
      <w:tr>
        <w:tc>
          <w:tcPr>
            <w:tcW w:type="dxa" w:w="3298"/>
            <w:vAlign w:val="center"/>
          </w:tcPr>
          <w:p>
            <w:pPr>
              <w:spacing w:after="0" w:line="240" w:lineRule="auto"/>
              <w:jc w:val="left"/>
            </w:pPr>
            <w:r/>
            <w:r>
              <w:rPr>
                <w:rFonts w:ascii="Times New Roman" w:hAnsi="Times New Roman" w:eastAsia="Times New Roman"/>
                <w:b w:val="0"/>
                <w:sz w:val="17"/>
              </w:rPr>
              <w:t>IT25102701</w:t>
            </w:r>
          </w:p>
        </w:tc>
        <w:tc>
          <w:tcPr>
            <w:tcW w:type="dxa" w:w="3298"/>
            <w:vAlign w:val="center"/>
          </w:tcPr>
          <w:p>
            <w:pPr>
              <w:spacing w:after="0" w:line="240" w:lineRule="auto"/>
              <w:jc w:val="left"/>
            </w:pPr>
            <w:r/>
            <w:r>
              <w:rPr>
                <w:rFonts w:ascii="Times New Roman" w:hAnsi="Times New Roman" w:eastAsia="Times New Roman"/>
                <w:b w:val="0"/>
                <w:sz w:val="17"/>
              </w:rPr>
              <w:t>Liyanaarachchi G. C. H.</w:t>
            </w:r>
          </w:p>
        </w:tc>
        <w:tc>
          <w:tcPr>
            <w:tcW w:type="dxa" w:w="3298"/>
            <w:vAlign w:val="center"/>
          </w:tcPr>
          <w:p>
            <w:pPr>
              <w:spacing w:after="0" w:line="240" w:lineRule="auto"/>
              <w:jc w:val="left"/>
            </w:pPr>
            <w:r/>
            <w:r>
              <w:rPr>
                <w:rFonts w:ascii="Times New Roman" w:hAnsi="Times New Roman" w:eastAsia="Times New Roman"/>
                <w:b w:val="0"/>
                <w:sz w:val="17"/>
              </w:rPr>
              <w:t>Book Search and Reservation Management</w:t>
            </w:r>
          </w:p>
        </w:tc>
      </w:tr>
      <w:tr>
        <w:tc>
          <w:tcPr>
            <w:tcW w:type="dxa" w:w="3298"/>
            <w:vAlign w:val="center"/>
          </w:tcPr>
          <w:p>
            <w:pPr>
              <w:spacing w:after="0" w:line="240" w:lineRule="auto"/>
              <w:jc w:val="left"/>
            </w:pPr>
            <w:r/>
            <w:r>
              <w:rPr>
                <w:rFonts w:ascii="Times New Roman" w:hAnsi="Times New Roman" w:eastAsia="Times New Roman"/>
                <w:b w:val="0"/>
                <w:sz w:val="17"/>
              </w:rPr>
              <w:t>IT25100139</w:t>
            </w:r>
          </w:p>
        </w:tc>
        <w:tc>
          <w:tcPr>
            <w:tcW w:type="dxa" w:w="3298"/>
            <w:vAlign w:val="center"/>
          </w:tcPr>
          <w:p>
            <w:pPr>
              <w:spacing w:after="0" w:line="240" w:lineRule="auto"/>
              <w:jc w:val="left"/>
            </w:pPr>
            <w:r/>
            <w:r>
              <w:rPr>
                <w:rFonts w:ascii="Times New Roman" w:hAnsi="Times New Roman" w:eastAsia="Times New Roman"/>
                <w:b w:val="0"/>
                <w:sz w:val="17"/>
              </w:rPr>
              <w:t>Harikesh S.</w:t>
            </w:r>
          </w:p>
        </w:tc>
        <w:tc>
          <w:tcPr>
            <w:tcW w:type="dxa" w:w="3298"/>
            <w:vAlign w:val="center"/>
          </w:tcPr>
          <w:p>
            <w:pPr>
              <w:spacing w:after="0" w:line="240" w:lineRule="auto"/>
              <w:jc w:val="left"/>
            </w:pPr>
            <w:r/>
            <w:r>
              <w:rPr>
                <w:rFonts w:ascii="Times New Roman" w:hAnsi="Times New Roman" w:eastAsia="Times New Roman"/>
                <w:b w:val="0"/>
                <w:sz w:val="17"/>
              </w:rPr>
              <w:t>Book and Category Management</w:t>
            </w:r>
          </w:p>
        </w:tc>
      </w:tr>
    </w:tbl>
    <w:p>
      <w:r>
        <w:br w:type="page"/>
      </w:r>
    </w:p>
    <w:p>
      <w:pPr>
        <w:pStyle w:val="Heading1"/>
      </w:pPr>
      <w:r>
        <w:t>1. Implementation Summary</w:t>
      </w:r>
    </w:p>
    <w:p>
      <w:pPr>
        <w:jc w:val="both"/>
      </w:pPr>
      <w:r>
        <w:rPr>
          <w:rFonts w:ascii="Times New Roman" w:hAnsi="Times New Roman" w:eastAsia="Times New Roman"/>
          <w:sz w:val="21"/>
        </w:rPr>
        <w:t>The final SmartLibrary Connect project now contains a real Observer Pattern implementation integrated into the normal application workflow. The pattern is used for event-driven library notifications rather than as a separate demonstration-only program. Reservation, borrowing, return/fine and scheduled reminder operations publish events through a common Subject interface. Multiple Observer implementations react to the same event without the business service needing to know the details of each reaction.</w:t>
      </w:r>
    </w:p>
    <w:p>
      <w:pPr>
        <w:jc w:val="both"/>
      </w:pPr>
      <w:r>
        <w:rPr>
          <w:rFonts w:ascii="Times New Roman" w:hAnsi="Times New Roman" w:eastAsia="Times New Roman"/>
          <w:b/>
          <w:sz w:val="21"/>
        </w:rPr>
        <w:t>No new external library or database schema change was required.</w:t>
      </w:r>
      <w:r>
        <w:rPr>
          <w:rFonts w:ascii="Times New Roman" w:hAnsi="Times New Roman" w:eastAsia="Times New Roman"/>
          <w:sz w:val="21"/>
        </w:rPr>
        <w:t xml:space="preserve"> The existing Spring Boot, JPA, SQL Server, frontend notification view and administrator activity-log view are reused.</w:t>
      </w:r>
    </w:p>
    <w:p>
      <w:pPr>
        <w:pStyle w:val="Heading2"/>
      </w:pPr>
      <w:r>
        <w:t>1.1 Why Observer Fits This System</w:t>
      </w:r>
    </w:p>
    <w:p>
      <w:pPr>
        <w:pStyle w:val="ListBullet"/>
        <w:spacing w:after="40"/>
      </w:pPr>
      <w:r>
        <w:rPr>
          <w:rFonts w:ascii="Times New Roman" w:hAnsi="Times New Roman" w:eastAsia="Times New Roman"/>
          <w:sz w:val="20"/>
        </w:rPr>
        <w:t>One library action can require more than one reaction, such as a member notification and an administrator audit record.</w:t>
      </w:r>
    </w:p>
    <w:p>
      <w:pPr>
        <w:pStyle w:val="ListBullet"/>
        <w:spacing w:after="40"/>
      </w:pPr>
      <w:r>
        <w:rPr>
          <w:rFonts w:ascii="Times New Roman" w:hAnsi="Times New Roman" w:eastAsia="Times New Roman"/>
          <w:sz w:val="20"/>
        </w:rPr>
        <w:t>Reservation, borrowing and fine services remain focused on their own business rules instead of directly implementing every notification channel.</w:t>
      </w:r>
    </w:p>
    <w:p>
      <w:pPr>
        <w:pStyle w:val="ListBullet"/>
        <w:spacing w:after="40"/>
      </w:pPr>
      <w:r>
        <w:rPr>
          <w:rFonts w:ascii="Times New Roman" w:hAnsi="Times New Roman" w:eastAsia="Times New Roman"/>
          <w:sz w:val="20"/>
        </w:rPr>
        <w:t>A future channel such as SMS, push notification or another audit target can be added as another observer without rewriting the publishing services.</w:t>
      </w:r>
    </w:p>
    <w:p>
      <w:pPr>
        <w:pStyle w:val="ListBullet"/>
        <w:spacing w:after="40"/>
      </w:pPr>
      <w:r>
        <w:rPr>
          <w:rFonts w:ascii="Times New Roman" w:hAnsi="Times New Roman" w:eastAsia="Times New Roman"/>
          <w:sz w:val="20"/>
        </w:rPr>
        <w:t>The pattern directly supports the documented due-date reminders, overdue alerts, reservation notices and borrowing/fine notifications.</w:t>
      </w:r>
    </w:p>
    <w:p>
      <w:pPr>
        <w:pStyle w:val="Heading2"/>
      </w:pPr>
      <w:r>
        <w:t>1.2 Pattern Components in the Code</w:t>
      </w:r>
    </w:p>
    <w:tbl>
      <w:tblPr>
        <w:tblW w:type="auto" w:w="0"/>
        <w:jc w:val="center"/>
        <w:tblLook w:firstColumn="1" w:firstRow="1" w:lastColumn="0" w:lastRow="0" w:noHBand="0" w:noVBand="1" w:val="04A0"/>
        <w:tblBorders>
          <w:top w:val="single" w:sz="7" w:color="000000"/>
          <w:left w:val="single" w:sz="7" w:color="000000"/>
          <w:bottom w:val="single" w:sz="7" w:color="000000"/>
          <w:right w:val="single" w:sz="7" w:color="000000"/>
          <w:insideH w:val="single" w:sz="7" w:color="000000"/>
          <w:insideV w:val="single" w:sz="7" w:color="000000"/>
        </w:tblBorders>
      </w:tblPr>
      <w:tblGrid>
        <w:gridCol w:w="3298"/>
        <w:gridCol w:w="3298"/>
        <w:gridCol w:w="3298"/>
      </w:tblGrid>
      <w:tr>
        <w:tc>
          <w:tcPr>
            <w:tcW w:type="dxa" w:w="3298"/>
            <w:vAlign w:val="center"/>
            <w:shd w:fill="EAEFF5"/>
          </w:tcPr>
          <w:p>
            <w:pPr>
              <w:spacing w:after="0" w:line="240" w:lineRule="auto"/>
              <w:jc w:val="center"/>
            </w:pPr>
            <w:r/>
            <w:r>
              <w:rPr>
                <w:rFonts w:ascii="Times New Roman" w:hAnsi="Times New Roman" w:eastAsia="Times New Roman"/>
                <w:b/>
                <w:sz w:val="17"/>
              </w:rPr>
              <w:t>Observer Role</w:t>
            </w:r>
          </w:p>
        </w:tc>
        <w:tc>
          <w:tcPr>
            <w:tcW w:type="dxa" w:w="3298"/>
            <w:vAlign w:val="center"/>
            <w:shd w:fill="EAEFF5"/>
          </w:tcPr>
          <w:p>
            <w:pPr>
              <w:spacing w:after="0" w:line="240" w:lineRule="auto"/>
              <w:jc w:val="center"/>
            </w:pPr>
            <w:r/>
            <w:r>
              <w:rPr>
                <w:rFonts w:ascii="Times New Roman" w:hAnsi="Times New Roman" w:eastAsia="Times New Roman"/>
                <w:b/>
                <w:sz w:val="17"/>
              </w:rPr>
              <w:t>Project Class</w:t>
            </w:r>
          </w:p>
        </w:tc>
        <w:tc>
          <w:tcPr>
            <w:tcW w:type="dxa" w:w="3298"/>
            <w:vAlign w:val="center"/>
            <w:shd w:fill="EAEFF5"/>
          </w:tcPr>
          <w:p>
            <w:pPr>
              <w:spacing w:after="0" w:line="240" w:lineRule="auto"/>
              <w:jc w:val="center"/>
            </w:pPr>
            <w:r/>
            <w:r>
              <w:rPr>
                <w:rFonts w:ascii="Times New Roman" w:hAnsi="Times New Roman" w:eastAsia="Times New Roman"/>
                <w:b/>
                <w:sz w:val="17"/>
              </w:rPr>
              <w:t>Responsibility</w:t>
            </w:r>
          </w:p>
        </w:tc>
      </w:tr>
      <w:tr>
        <w:tc>
          <w:tcPr>
            <w:tcW w:type="dxa" w:w="3298"/>
            <w:vAlign w:val="center"/>
          </w:tcPr>
          <w:p>
            <w:pPr>
              <w:spacing w:after="0" w:line="240" w:lineRule="auto"/>
              <w:jc w:val="left"/>
            </w:pPr>
            <w:r/>
            <w:r>
              <w:rPr>
                <w:rFonts w:ascii="Times New Roman" w:hAnsi="Times New Roman" w:eastAsia="Times New Roman"/>
                <w:b w:val="0"/>
                <w:sz w:val="16"/>
              </w:rPr>
              <w:t>Event data</w:t>
            </w:r>
          </w:p>
        </w:tc>
        <w:tc>
          <w:tcPr>
            <w:tcW w:type="dxa" w:w="3298"/>
            <w:vAlign w:val="center"/>
          </w:tcPr>
          <w:p>
            <w:pPr>
              <w:spacing w:after="0" w:line="240" w:lineRule="auto"/>
              <w:jc w:val="left"/>
            </w:pPr>
            <w:r/>
            <w:r>
              <w:rPr>
                <w:rFonts w:ascii="Times New Roman" w:hAnsi="Times New Roman" w:eastAsia="Times New Roman"/>
                <w:b w:val="0"/>
                <w:sz w:val="16"/>
              </w:rPr>
              <w:t>LibraryEvent</w:t>
            </w:r>
          </w:p>
        </w:tc>
        <w:tc>
          <w:tcPr>
            <w:tcW w:type="dxa" w:w="3298"/>
            <w:vAlign w:val="center"/>
          </w:tcPr>
          <w:p>
            <w:pPr>
              <w:spacing w:after="0" w:line="240" w:lineRule="auto"/>
              <w:jc w:val="left"/>
            </w:pPr>
            <w:r/>
            <w:r>
              <w:rPr>
                <w:rFonts w:ascii="Times New Roman" w:hAnsi="Times New Roman" w:eastAsia="Times New Roman"/>
                <w:b w:val="0"/>
                <w:sz w:val="16"/>
              </w:rPr>
              <w:t>Carries user, message, notification type, source function and event name.</w:t>
            </w:r>
          </w:p>
        </w:tc>
      </w:tr>
      <w:tr>
        <w:tc>
          <w:tcPr>
            <w:tcW w:type="dxa" w:w="3298"/>
            <w:vAlign w:val="center"/>
          </w:tcPr>
          <w:p>
            <w:pPr>
              <w:spacing w:after="0" w:line="240" w:lineRule="auto"/>
              <w:jc w:val="left"/>
            </w:pPr>
            <w:r/>
            <w:r>
              <w:rPr>
                <w:rFonts w:ascii="Times New Roman" w:hAnsi="Times New Roman" w:eastAsia="Times New Roman"/>
                <w:b w:val="0"/>
                <w:sz w:val="16"/>
              </w:rPr>
              <w:t>Subject interface</w:t>
            </w:r>
          </w:p>
        </w:tc>
        <w:tc>
          <w:tcPr>
            <w:tcW w:type="dxa" w:w="3298"/>
            <w:vAlign w:val="center"/>
          </w:tcPr>
          <w:p>
            <w:pPr>
              <w:spacing w:after="0" w:line="240" w:lineRule="auto"/>
              <w:jc w:val="left"/>
            </w:pPr>
            <w:r/>
            <w:r>
              <w:rPr>
                <w:rFonts w:ascii="Times New Roman" w:hAnsi="Times New Roman" w:eastAsia="Times New Roman"/>
                <w:b w:val="0"/>
                <w:sz w:val="16"/>
              </w:rPr>
              <w:t>LibraryEventSubject</w:t>
            </w:r>
          </w:p>
        </w:tc>
        <w:tc>
          <w:tcPr>
            <w:tcW w:type="dxa" w:w="3298"/>
            <w:vAlign w:val="center"/>
          </w:tcPr>
          <w:p>
            <w:pPr>
              <w:spacing w:after="0" w:line="240" w:lineRule="auto"/>
              <w:jc w:val="left"/>
            </w:pPr>
            <w:r/>
            <w:r>
              <w:rPr>
                <w:rFonts w:ascii="Times New Roman" w:hAnsi="Times New Roman" w:eastAsia="Times New Roman"/>
                <w:b w:val="0"/>
                <w:sz w:val="16"/>
              </w:rPr>
              <w:t>Defines addObserver, removeObserver and notifyObservers.</w:t>
            </w:r>
          </w:p>
        </w:tc>
      </w:tr>
      <w:tr>
        <w:tc>
          <w:tcPr>
            <w:tcW w:type="dxa" w:w="3298"/>
            <w:vAlign w:val="center"/>
          </w:tcPr>
          <w:p>
            <w:pPr>
              <w:spacing w:after="0" w:line="240" w:lineRule="auto"/>
              <w:jc w:val="left"/>
            </w:pPr>
            <w:r/>
            <w:r>
              <w:rPr>
                <w:rFonts w:ascii="Times New Roman" w:hAnsi="Times New Roman" w:eastAsia="Times New Roman"/>
                <w:b w:val="0"/>
                <w:sz w:val="16"/>
              </w:rPr>
              <w:t>Concrete Subject</w:t>
            </w:r>
          </w:p>
        </w:tc>
        <w:tc>
          <w:tcPr>
            <w:tcW w:type="dxa" w:w="3298"/>
            <w:vAlign w:val="center"/>
          </w:tcPr>
          <w:p>
            <w:pPr>
              <w:spacing w:after="0" w:line="240" w:lineRule="auto"/>
              <w:jc w:val="left"/>
            </w:pPr>
            <w:r/>
            <w:r>
              <w:rPr>
                <w:rFonts w:ascii="Times New Roman" w:hAnsi="Times New Roman" w:eastAsia="Times New Roman"/>
                <w:b w:val="0"/>
                <w:sz w:val="16"/>
              </w:rPr>
              <w:t>LibraryNotificationSubject</w:t>
            </w:r>
          </w:p>
        </w:tc>
        <w:tc>
          <w:tcPr>
            <w:tcW w:type="dxa" w:w="3298"/>
            <w:vAlign w:val="center"/>
          </w:tcPr>
          <w:p>
            <w:pPr>
              <w:spacing w:after="0" w:line="240" w:lineRule="auto"/>
              <w:jc w:val="left"/>
            </w:pPr>
            <w:r/>
            <w:r>
              <w:rPr>
                <w:rFonts w:ascii="Times New Roman" w:hAnsi="Times New Roman" w:eastAsia="Times New Roman"/>
                <w:b w:val="0"/>
                <w:sz w:val="16"/>
              </w:rPr>
              <w:t>Maintains the observer list and broadcasts each event.</w:t>
            </w:r>
          </w:p>
        </w:tc>
      </w:tr>
      <w:tr>
        <w:tc>
          <w:tcPr>
            <w:tcW w:type="dxa" w:w="3298"/>
            <w:vAlign w:val="center"/>
          </w:tcPr>
          <w:p>
            <w:pPr>
              <w:spacing w:after="0" w:line="240" w:lineRule="auto"/>
              <w:jc w:val="left"/>
            </w:pPr>
            <w:r/>
            <w:r>
              <w:rPr>
                <w:rFonts w:ascii="Times New Roman" w:hAnsi="Times New Roman" w:eastAsia="Times New Roman"/>
                <w:b w:val="0"/>
                <w:sz w:val="16"/>
              </w:rPr>
              <w:t>Observer interface</w:t>
            </w:r>
          </w:p>
        </w:tc>
        <w:tc>
          <w:tcPr>
            <w:tcW w:type="dxa" w:w="3298"/>
            <w:vAlign w:val="center"/>
          </w:tcPr>
          <w:p>
            <w:pPr>
              <w:spacing w:after="0" w:line="240" w:lineRule="auto"/>
              <w:jc w:val="left"/>
            </w:pPr>
            <w:r/>
            <w:r>
              <w:rPr>
                <w:rFonts w:ascii="Times New Roman" w:hAnsi="Times New Roman" w:eastAsia="Times New Roman"/>
                <w:b w:val="0"/>
                <w:sz w:val="16"/>
              </w:rPr>
              <w:t>LibraryObserver</w:t>
            </w:r>
          </w:p>
        </w:tc>
        <w:tc>
          <w:tcPr>
            <w:tcW w:type="dxa" w:w="3298"/>
            <w:vAlign w:val="center"/>
          </w:tcPr>
          <w:p>
            <w:pPr>
              <w:spacing w:after="0" w:line="240" w:lineRule="auto"/>
              <w:jc w:val="left"/>
            </w:pPr>
            <w:r/>
            <w:r>
              <w:rPr>
                <w:rFonts w:ascii="Times New Roman" w:hAnsi="Times New Roman" w:eastAsia="Times New Roman"/>
                <w:b w:val="0"/>
                <w:sz w:val="16"/>
              </w:rPr>
              <w:t>Defines update(LibraryEvent).</w:t>
            </w:r>
          </w:p>
        </w:tc>
      </w:tr>
      <w:tr>
        <w:tc>
          <w:tcPr>
            <w:tcW w:type="dxa" w:w="3298"/>
            <w:vAlign w:val="center"/>
          </w:tcPr>
          <w:p>
            <w:pPr>
              <w:spacing w:after="0" w:line="240" w:lineRule="auto"/>
              <w:jc w:val="left"/>
            </w:pPr>
            <w:r/>
            <w:r>
              <w:rPr>
                <w:rFonts w:ascii="Times New Roman" w:hAnsi="Times New Roman" w:eastAsia="Times New Roman"/>
                <w:b w:val="0"/>
                <w:sz w:val="16"/>
              </w:rPr>
              <w:t>Concrete Observer 1</w:t>
            </w:r>
          </w:p>
        </w:tc>
        <w:tc>
          <w:tcPr>
            <w:tcW w:type="dxa" w:w="3298"/>
            <w:vAlign w:val="center"/>
          </w:tcPr>
          <w:p>
            <w:pPr>
              <w:spacing w:after="0" w:line="240" w:lineRule="auto"/>
              <w:jc w:val="left"/>
            </w:pPr>
            <w:r/>
            <w:r>
              <w:rPr>
                <w:rFonts w:ascii="Times New Roman" w:hAnsi="Times New Roman" w:eastAsia="Times New Roman"/>
                <w:b w:val="0"/>
                <w:sz w:val="16"/>
              </w:rPr>
              <w:t>InAppNotificationObserver</w:t>
            </w:r>
          </w:p>
        </w:tc>
        <w:tc>
          <w:tcPr>
            <w:tcW w:type="dxa" w:w="3298"/>
            <w:vAlign w:val="center"/>
          </w:tcPr>
          <w:p>
            <w:pPr>
              <w:spacing w:after="0" w:line="240" w:lineRule="auto"/>
              <w:jc w:val="left"/>
            </w:pPr>
            <w:r/>
            <w:r>
              <w:rPr>
                <w:rFonts w:ascii="Times New Roman" w:hAnsi="Times New Roman" w:eastAsia="Times New Roman"/>
                <w:b w:val="0"/>
                <w:sz w:val="16"/>
              </w:rPr>
              <w:t>Creates the member notification through NotificationService and existing email stub.</w:t>
            </w:r>
          </w:p>
        </w:tc>
      </w:tr>
      <w:tr>
        <w:tc>
          <w:tcPr>
            <w:tcW w:type="dxa" w:w="3298"/>
            <w:vAlign w:val="center"/>
          </w:tcPr>
          <w:p>
            <w:pPr>
              <w:spacing w:after="0" w:line="240" w:lineRule="auto"/>
              <w:jc w:val="left"/>
            </w:pPr>
            <w:r/>
            <w:r>
              <w:rPr>
                <w:rFonts w:ascii="Times New Roman" w:hAnsi="Times New Roman" w:eastAsia="Times New Roman"/>
                <w:b w:val="0"/>
                <w:sz w:val="16"/>
              </w:rPr>
              <w:t>Concrete Observer 2</w:t>
            </w:r>
          </w:p>
        </w:tc>
        <w:tc>
          <w:tcPr>
            <w:tcW w:type="dxa" w:w="3298"/>
            <w:vAlign w:val="center"/>
          </w:tcPr>
          <w:p>
            <w:pPr>
              <w:spacing w:after="0" w:line="240" w:lineRule="auto"/>
              <w:jc w:val="left"/>
            </w:pPr>
            <w:r/>
            <w:r>
              <w:rPr>
                <w:rFonts w:ascii="Times New Roman" w:hAnsi="Times New Roman" w:eastAsia="Times New Roman"/>
                <w:b w:val="0"/>
                <w:sz w:val="16"/>
              </w:rPr>
              <w:t>NotificationActivityLogObserver</w:t>
            </w:r>
          </w:p>
        </w:tc>
        <w:tc>
          <w:tcPr>
            <w:tcW w:type="dxa" w:w="3298"/>
            <w:vAlign w:val="center"/>
          </w:tcPr>
          <w:p>
            <w:pPr>
              <w:spacing w:after="0" w:line="240" w:lineRule="auto"/>
              <w:jc w:val="left"/>
            </w:pPr>
            <w:r/>
            <w:r>
              <w:rPr>
                <w:rFonts w:ascii="Times New Roman" w:hAnsi="Times New Roman" w:eastAsia="Times New Roman"/>
                <w:b w:val="0"/>
                <w:sz w:val="16"/>
              </w:rPr>
              <w:t>Creates the administrator activity-log/audit entry.</w:t>
            </w:r>
          </w:p>
        </w:tc>
      </w:tr>
    </w:tbl>
    <w:p>
      <w:r>
        <w:br w:type="page"/>
      </w:r>
    </w:p>
    <w:p>
      <w:pPr>
        <w:pStyle w:val="Heading1"/>
      </w:pPr>
      <w:r>
        <w:t>2. Observer Pattern Architecture</w:t>
      </w:r>
    </w:p>
    <w:p>
      <w:pPr>
        <w:jc w:val="both"/>
      </w:pPr>
      <w:r>
        <w:rPr>
          <w:rFonts w:ascii="Times New Roman" w:hAnsi="Times New Roman" w:eastAsia="Times New Roman"/>
          <w:sz w:val="21"/>
        </w:rPr>
        <w:t>The diagram below shows the implementation as it now exists in the project. Four existing application areas publish library events. The Concrete Subject broadcasts each event to two Concrete Observers, producing both a member-facing notification and an administrator-facing audit record.</w:t>
      </w:r>
    </w:p>
    <w:p>
      <w:pPr>
        <w:jc w:val="center"/>
      </w:pPr>
      <w:r>
        <w:drawing>
          <wp:inline xmlns:a="http://schemas.openxmlformats.org/drawingml/2006/main" xmlns:pic="http://schemas.openxmlformats.org/drawingml/2006/picture">
            <wp:extent cx="6217920" cy="2115041"/>
            <wp:docPr id="2" name="Picture 2"/>
            <wp:cNvGraphicFramePr>
              <a:graphicFrameLocks noChangeAspect="1"/>
            </wp:cNvGraphicFramePr>
            <a:graphic>
              <a:graphicData uri="http://schemas.openxmlformats.org/drawingml/2006/picture">
                <pic:pic>
                  <pic:nvPicPr>
                    <pic:cNvPr id="0" name="Observer_Pattern_Architecture_Portrait.png"/>
                    <pic:cNvPicPr/>
                  </pic:nvPicPr>
                  <pic:blipFill>
                    <a:blip r:embed="rId10"/>
                    <a:stretch>
                      <a:fillRect/>
                    </a:stretch>
                  </pic:blipFill>
                  <pic:spPr>
                    <a:xfrm>
                      <a:off x="0" y="0"/>
                      <a:ext cx="6217920" cy="2115041"/>
                    </a:xfrm>
                    <a:prstGeom prst="rect"/>
                  </pic:spPr>
                </pic:pic>
              </a:graphicData>
            </a:graphic>
          </wp:inline>
        </w:drawing>
      </w:r>
    </w:p>
    <w:p>
      <w:pPr>
        <w:spacing w:after="160"/>
        <w:jc w:val="center"/>
      </w:pPr>
      <w:r>
        <w:rPr>
          <w:rFonts w:ascii="Times New Roman" w:hAnsi="Times New Roman"/>
          <w:i/>
          <w:sz w:val="18"/>
        </w:rPr>
        <w:t>Figure 1. Observer Pattern integrated into SmartLibrary Connect</w:t>
      </w:r>
    </w:p>
    <w:p>
      <w:pPr>
        <w:pStyle w:val="Heading2"/>
      </w:pPr>
      <w:r>
        <w:t>2.1 Runtime Flow</w:t>
      </w:r>
    </w:p>
    <w:p>
      <w:pPr>
        <w:pStyle w:val="ListBullet"/>
        <w:spacing w:after="40"/>
      </w:pPr>
      <w:r>
        <w:rPr>
          <w:rFonts w:ascii="Times New Roman" w:hAnsi="Times New Roman" w:eastAsia="Times New Roman"/>
          <w:sz w:val="20"/>
        </w:rPr>
        <w:t>A normal library action occurs, for example a member creates a reservation.</w:t>
      </w:r>
    </w:p>
    <w:p>
      <w:pPr>
        <w:pStyle w:val="ListBullet"/>
        <w:spacing w:after="40"/>
      </w:pPr>
      <w:r>
        <w:rPr>
          <w:rFonts w:ascii="Times New Roman" w:hAnsi="Times New Roman" w:eastAsia="Times New Roman"/>
          <w:sz w:val="20"/>
        </w:rPr>
        <w:t>The responsible service creates a LibraryEvent and calls LibraryEventSubject.notifyObservers(event).</w:t>
      </w:r>
    </w:p>
    <w:p>
      <w:pPr>
        <w:pStyle w:val="ListBullet"/>
        <w:spacing w:after="40"/>
      </w:pPr>
      <w:r>
        <w:rPr>
          <w:rFonts w:ascii="Times New Roman" w:hAnsi="Times New Roman" w:eastAsia="Times New Roman"/>
          <w:sz w:val="20"/>
        </w:rPr>
        <w:t>LibraryNotificationSubject broadcasts the event to all registered LibraryObserver implementations.</w:t>
      </w:r>
    </w:p>
    <w:p>
      <w:pPr>
        <w:pStyle w:val="ListBullet"/>
        <w:spacing w:after="40"/>
      </w:pPr>
      <w:r>
        <w:rPr>
          <w:rFonts w:ascii="Times New Roman" w:hAnsi="Times New Roman" w:eastAsia="Times New Roman"/>
          <w:sz w:val="20"/>
        </w:rPr>
        <w:t>InAppNotificationObserver stores the member notification and runs the existing email-notification stub.</w:t>
      </w:r>
    </w:p>
    <w:p>
      <w:pPr>
        <w:pStyle w:val="ListBullet"/>
        <w:spacing w:after="40"/>
      </w:pPr>
      <w:r>
        <w:rPr>
          <w:rFonts w:ascii="Times New Roman" w:hAnsi="Times New Roman" w:eastAsia="Times New Roman"/>
          <w:sz w:val="20"/>
        </w:rPr>
        <w:t>NotificationActivityLogObserver records an OBSERVER_NOTIFICATION entry for administrator monitoring.</w:t>
      </w:r>
    </w:p>
    <w:p>
      <w:pPr>
        <w:pStyle w:val="ListBullet"/>
        <w:spacing w:after="40"/>
      </w:pPr>
      <w:r>
        <w:rPr>
          <w:rFonts w:ascii="Times New Roman" w:hAnsi="Times New Roman" w:eastAsia="Times New Roman"/>
          <w:sz w:val="20"/>
        </w:rPr>
        <w:t>The original library operation continues without containing notification-channel logic.</w:t>
      </w:r>
    </w:p>
    <w:p>
      <w:r>
        <w:br w:type="page"/>
      </w:r>
    </w:p>
    <w:p>
      <w:pPr>
        <w:pStyle w:val="Heading1"/>
      </w:pPr>
      <w:r>
        <w:t>3. Where the Pattern Is Applied</w:t>
      </w:r>
    </w:p>
    <w:p>
      <w:pPr>
        <w:jc w:val="both"/>
      </w:pPr>
      <w:r>
        <w:rPr>
          <w:rFonts w:ascii="Times New Roman" w:hAnsi="Times New Roman" w:eastAsia="Times New Roman"/>
          <w:sz w:val="21"/>
        </w:rPr>
        <w:t>The Observer Pattern is a group-level design improvement, but its direct integration points belong to specific major functions. The table distinguishes direct code integration from modules that remain unchanged.</w:t>
      </w:r>
    </w:p>
    <w:tbl>
      <w:tblPr>
        <w:tblW w:type="auto" w:w="0"/>
        <w:jc w:val="center"/>
        <w:tblLook w:firstColumn="1" w:firstRow="1" w:lastColumn="0" w:lastRow="0" w:noHBand="0" w:noVBand="1" w:val="04A0"/>
        <w:tblBorders>
          <w:top w:val="single" w:sz="7" w:color="000000"/>
          <w:left w:val="single" w:sz="7" w:color="000000"/>
          <w:bottom w:val="single" w:sz="7" w:color="000000"/>
          <w:right w:val="single" w:sz="7" w:color="000000"/>
          <w:insideH w:val="single" w:sz="7" w:color="000000"/>
          <w:insideV w:val="single" w:sz="7" w:color="000000"/>
        </w:tblBorders>
      </w:tblPr>
      <w:tblGrid>
        <w:gridCol w:w="2473"/>
        <w:gridCol w:w="2473"/>
        <w:gridCol w:w="2473"/>
        <w:gridCol w:w="2473"/>
      </w:tblGrid>
      <w:tr>
        <w:tc>
          <w:tcPr>
            <w:tcW w:type="dxa" w:w="2473"/>
            <w:vAlign w:val="center"/>
            <w:shd w:fill="EAEFF5"/>
          </w:tcPr>
          <w:p>
            <w:pPr>
              <w:spacing w:after="0" w:line="240" w:lineRule="auto"/>
              <w:jc w:val="center"/>
            </w:pPr>
            <w:r/>
            <w:r>
              <w:rPr>
                <w:rFonts w:ascii="Times New Roman" w:hAnsi="Times New Roman" w:eastAsia="Times New Roman"/>
                <w:b/>
                <w:sz w:val="16"/>
              </w:rPr>
              <w:t>Member</w:t>
            </w:r>
          </w:p>
        </w:tc>
        <w:tc>
          <w:tcPr>
            <w:tcW w:type="dxa" w:w="2473"/>
            <w:vAlign w:val="center"/>
            <w:shd w:fill="EAEFF5"/>
          </w:tcPr>
          <w:p>
            <w:pPr>
              <w:spacing w:after="0" w:line="240" w:lineRule="auto"/>
              <w:jc w:val="center"/>
            </w:pPr>
            <w:r/>
            <w:r>
              <w:rPr>
                <w:rFonts w:ascii="Times New Roman" w:hAnsi="Times New Roman" w:eastAsia="Times New Roman"/>
                <w:b/>
                <w:sz w:val="16"/>
              </w:rPr>
              <w:t>Assigned Function</w:t>
            </w:r>
          </w:p>
        </w:tc>
        <w:tc>
          <w:tcPr>
            <w:tcW w:type="dxa" w:w="2473"/>
            <w:vAlign w:val="center"/>
            <w:shd w:fill="EAEFF5"/>
          </w:tcPr>
          <w:p>
            <w:pPr>
              <w:spacing w:after="0" w:line="240" w:lineRule="auto"/>
              <w:jc w:val="center"/>
            </w:pPr>
            <w:r/>
            <w:r>
              <w:rPr>
                <w:rFonts w:ascii="Times New Roman" w:hAnsi="Times New Roman" w:eastAsia="Times New Roman"/>
                <w:b/>
                <w:sz w:val="16"/>
              </w:rPr>
              <w:t>Observer Integration</w:t>
            </w:r>
          </w:p>
        </w:tc>
        <w:tc>
          <w:tcPr>
            <w:tcW w:type="dxa" w:w="2473"/>
            <w:vAlign w:val="center"/>
            <w:shd w:fill="EAEFF5"/>
          </w:tcPr>
          <w:p>
            <w:pPr>
              <w:spacing w:after="0" w:line="240" w:lineRule="auto"/>
              <w:jc w:val="center"/>
            </w:pPr>
            <w:r/>
            <w:r>
              <w:rPr>
                <w:rFonts w:ascii="Times New Roman" w:hAnsi="Times New Roman" w:eastAsia="Times New Roman"/>
                <w:b/>
                <w:sz w:val="16"/>
              </w:rPr>
              <w:t>Main Code Location</w:t>
            </w:r>
          </w:p>
        </w:tc>
      </w:tr>
      <w:tr>
        <w:tc>
          <w:tcPr>
            <w:tcW w:type="dxa" w:w="2473"/>
            <w:vAlign w:val="center"/>
          </w:tcPr>
          <w:p>
            <w:pPr>
              <w:spacing w:after="0" w:line="240" w:lineRule="auto"/>
              <w:jc w:val="left"/>
            </w:pPr>
            <w:r/>
            <w:r>
              <w:rPr>
                <w:rFonts w:ascii="Times New Roman" w:hAnsi="Times New Roman" w:eastAsia="Times New Roman"/>
                <w:b w:val="0"/>
                <w:sz w:val="15"/>
              </w:rPr>
              <w:t>Liyanaarachchi G. C. H.</w:t>
              <w:br/>
              <w:t>IT25102701</w:t>
            </w:r>
          </w:p>
        </w:tc>
        <w:tc>
          <w:tcPr>
            <w:tcW w:type="dxa" w:w="2473"/>
            <w:vAlign w:val="center"/>
          </w:tcPr>
          <w:p>
            <w:pPr>
              <w:spacing w:after="0" w:line="240" w:lineRule="auto"/>
              <w:jc w:val="left"/>
            </w:pPr>
            <w:r/>
            <w:r>
              <w:rPr>
                <w:rFonts w:ascii="Times New Roman" w:hAnsi="Times New Roman" w:eastAsia="Times New Roman"/>
                <w:b w:val="0"/>
                <w:sz w:val="15"/>
              </w:rPr>
              <w:t>Book Search and Reservation Management</w:t>
            </w:r>
          </w:p>
        </w:tc>
        <w:tc>
          <w:tcPr>
            <w:tcW w:type="dxa" w:w="2473"/>
            <w:vAlign w:val="center"/>
          </w:tcPr>
          <w:p>
            <w:pPr>
              <w:spacing w:after="0" w:line="240" w:lineRule="auto"/>
              <w:jc w:val="left"/>
            </w:pPr>
            <w:r/>
            <w:r>
              <w:rPr>
                <w:rFonts w:ascii="Times New Roman" w:hAnsi="Times New Roman" w:eastAsia="Times New Roman"/>
                <w:b w:val="0"/>
                <w:sz w:val="15"/>
              </w:rPr>
              <w:t>DIRECT - publishes reservation created/status/cancelled events.</w:t>
            </w:r>
          </w:p>
        </w:tc>
        <w:tc>
          <w:tcPr>
            <w:tcW w:type="dxa" w:w="2473"/>
            <w:vAlign w:val="center"/>
          </w:tcPr>
          <w:p>
            <w:pPr>
              <w:spacing w:after="0" w:line="240" w:lineRule="auto"/>
              <w:jc w:val="left"/>
            </w:pPr>
            <w:r/>
            <w:r>
              <w:rPr>
                <w:rFonts w:ascii="Times New Roman" w:hAnsi="Times New Roman" w:eastAsia="Times New Roman"/>
                <w:b w:val="0"/>
                <w:sz w:val="15"/>
              </w:rPr>
              <w:t>ReservationServiceImpl.java</w:t>
            </w:r>
          </w:p>
        </w:tc>
      </w:tr>
      <w:tr>
        <w:tc>
          <w:tcPr>
            <w:tcW w:type="dxa" w:w="2473"/>
            <w:vAlign w:val="center"/>
          </w:tcPr>
          <w:p>
            <w:pPr>
              <w:spacing w:after="0" w:line="240" w:lineRule="auto"/>
              <w:jc w:val="left"/>
            </w:pPr>
            <w:r/>
            <w:r>
              <w:rPr>
                <w:rFonts w:ascii="Times New Roman" w:hAnsi="Times New Roman" w:eastAsia="Times New Roman"/>
                <w:b w:val="0"/>
                <w:sz w:val="15"/>
              </w:rPr>
              <w:t>Koswatta A.C.W.W.M.R.</w:t>
              <w:br/>
              <w:t>IT25102278</w:t>
            </w:r>
          </w:p>
        </w:tc>
        <w:tc>
          <w:tcPr>
            <w:tcW w:type="dxa" w:w="2473"/>
            <w:vAlign w:val="center"/>
          </w:tcPr>
          <w:p>
            <w:pPr>
              <w:spacing w:after="0" w:line="240" w:lineRule="auto"/>
              <w:jc w:val="left"/>
            </w:pPr>
            <w:r/>
            <w:r>
              <w:rPr>
                <w:rFonts w:ascii="Times New Roman" w:hAnsi="Times New Roman" w:eastAsia="Times New Roman"/>
                <w:b w:val="0"/>
                <w:sz w:val="15"/>
              </w:rPr>
              <w:t>Borrowing and Issuing Management</w:t>
            </w:r>
          </w:p>
        </w:tc>
        <w:tc>
          <w:tcPr>
            <w:tcW w:type="dxa" w:w="2473"/>
            <w:vAlign w:val="center"/>
          </w:tcPr>
          <w:p>
            <w:pPr>
              <w:spacing w:after="0" w:line="240" w:lineRule="auto"/>
              <w:jc w:val="left"/>
            </w:pPr>
            <w:r/>
            <w:r>
              <w:rPr>
                <w:rFonts w:ascii="Times New Roman" w:hAnsi="Times New Roman" w:eastAsia="Times New Roman"/>
                <w:b w:val="0"/>
                <w:sz w:val="15"/>
              </w:rPr>
              <w:t>DIRECT - publishes issue, renewal and return events.</w:t>
            </w:r>
          </w:p>
        </w:tc>
        <w:tc>
          <w:tcPr>
            <w:tcW w:type="dxa" w:w="2473"/>
            <w:vAlign w:val="center"/>
          </w:tcPr>
          <w:p>
            <w:pPr>
              <w:spacing w:after="0" w:line="240" w:lineRule="auto"/>
              <w:jc w:val="left"/>
            </w:pPr>
            <w:r/>
            <w:r>
              <w:rPr>
                <w:rFonts w:ascii="Times New Roman" w:hAnsi="Times New Roman" w:eastAsia="Times New Roman"/>
                <w:b w:val="0"/>
                <w:sz w:val="15"/>
              </w:rPr>
              <w:t>BorrowServiceImpl.java</w:t>
            </w:r>
          </w:p>
        </w:tc>
      </w:tr>
      <w:tr>
        <w:tc>
          <w:tcPr>
            <w:tcW w:type="dxa" w:w="2473"/>
            <w:vAlign w:val="center"/>
          </w:tcPr>
          <w:p>
            <w:pPr>
              <w:spacing w:after="0" w:line="240" w:lineRule="auto"/>
              <w:jc w:val="left"/>
            </w:pPr>
            <w:r/>
            <w:r>
              <w:rPr>
                <w:rFonts w:ascii="Times New Roman" w:hAnsi="Times New Roman" w:eastAsia="Times New Roman"/>
                <w:b w:val="0"/>
                <w:sz w:val="15"/>
              </w:rPr>
              <w:t>Andrewdilan T.</w:t>
              <w:br/>
              <w:t>IT25103242</w:t>
            </w:r>
          </w:p>
        </w:tc>
        <w:tc>
          <w:tcPr>
            <w:tcW w:type="dxa" w:w="2473"/>
            <w:vAlign w:val="center"/>
          </w:tcPr>
          <w:p>
            <w:pPr>
              <w:spacing w:after="0" w:line="240" w:lineRule="auto"/>
              <w:jc w:val="left"/>
            </w:pPr>
            <w:r/>
            <w:r>
              <w:rPr>
                <w:rFonts w:ascii="Times New Roman" w:hAnsi="Times New Roman" w:eastAsia="Times New Roman"/>
                <w:b w:val="0"/>
                <w:sz w:val="15"/>
              </w:rPr>
              <w:t>Return and Fine Management</w:t>
            </w:r>
          </w:p>
        </w:tc>
        <w:tc>
          <w:tcPr>
            <w:tcW w:type="dxa" w:w="2473"/>
            <w:vAlign w:val="center"/>
          </w:tcPr>
          <w:p>
            <w:pPr>
              <w:spacing w:after="0" w:line="240" w:lineRule="auto"/>
              <w:jc w:val="left"/>
            </w:pPr>
            <w:r/>
            <w:r>
              <w:rPr>
                <w:rFonts w:ascii="Times New Roman" w:hAnsi="Times New Roman" w:eastAsia="Times New Roman"/>
                <w:b w:val="0"/>
                <w:sz w:val="15"/>
              </w:rPr>
              <w:t>DIRECT - publishes fine-created and fine-status events.</w:t>
            </w:r>
          </w:p>
        </w:tc>
        <w:tc>
          <w:tcPr>
            <w:tcW w:type="dxa" w:w="2473"/>
            <w:vAlign w:val="center"/>
          </w:tcPr>
          <w:p>
            <w:pPr>
              <w:spacing w:after="0" w:line="240" w:lineRule="auto"/>
              <w:jc w:val="left"/>
            </w:pPr>
            <w:r/>
            <w:r>
              <w:rPr>
                <w:rFonts w:ascii="Times New Roman" w:hAnsi="Times New Roman" w:eastAsia="Times New Roman"/>
                <w:b w:val="0"/>
                <w:sz w:val="15"/>
              </w:rPr>
              <w:t>FineServiceImpl.java</w:t>
            </w:r>
          </w:p>
        </w:tc>
      </w:tr>
      <w:tr>
        <w:tc>
          <w:tcPr>
            <w:tcW w:type="dxa" w:w="2473"/>
            <w:vAlign w:val="center"/>
          </w:tcPr>
          <w:p>
            <w:pPr>
              <w:spacing w:after="0" w:line="240" w:lineRule="auto"/>
              <w:jc w:val="left"/>
            </w:pPr>
            <w:r/>
            <w:r>
              <w:rPr>
                <w:rFonts w:ascii="Times New Roman" w:hAnsi="Times New Roman" w:eastAsia="Times New Roman"/>
                <w:b w:val="0"/>
                <w:sz w:val="15"/>
              </w:rPr>
              <w:t>Fernando K.M.D.</w:t>
              <w:br/>
              <w:t>IT25100725</w:t>
            </w:r>
          </w:p>
        </w:tc>
        <w:tc>
          <w:tcPr>
            <w:tcW w:type="dxa" w:w="2473"/>
            <w:vAlign w:val="center"/>
          </w:tcPr>
          <w:p>
            <w:pPr>
              <w:spacing w:after="0" w:line="240" w:lineRule="auto"/>
              <w:jc w:val="left"/>
            </w:pPr>
            <w:r/>
            <w:r>
              <w:rPr>
                <w:rFonts w:ascii="Times New Roman" w:hAnsi="Times New Roman" w:eastAsia="Times New Roman"/>
                <w:b w:val="0"/>
                <w:sz w:val="15"/>
              </w:rPr>
              <w:t>Administration, Reports, and Notification Management</w:t>
            </w:r>
          </w:p>
        </w:tc>
        <w:tc>
          <w:tcPr>
            <w:tcW w:type="dxa" w:w="2473"/>
            <w:vAlign w:val="center"/>
          </w:tcPr>
          <w:p>
            <w:pPr>
              <w:spacing w:after="0" w:line="240" w:lineRule="auto"/>
              <w:jc w:val="left"/>
            </w:pPr>
            <w:r/>
            <w:r>
              <w:rPr>
                <w:rFonts w:ascii="Times New Roman" w:hAnsi="Times New Roman" w:eastAsia="Times New Roman"/>
                <w:b w:val="0"/>
                <w:sz w:val="15"/>
              </w:rPr>
              <w:t>DIRECT / CORE - reminder publisher plus Subject and Concrete Observers for notifications and audit logs.</w:t>
            </w:r>
          </w:p>
        </w:tc>
        <w:tc>
          <w:tcPr>
            <w:tcW w:type="dxa" w:w="2473"/>
            <w:vAlign w:val="center"/>
          </w:tcPr>
          <w:p>
            <w:pPr>
              <w:spacing w:after="0" w:line="240" w:lineRule="auto"/>
              <w:jc w:val="left"/>
            </w:pPr>
            <w:r/>
            <w:r>
              <w:rPr>
                <w:rFonts w:ascii="Times New Roman" w:hAnsi="Times New Roman" w:eastAsia="Times New Roman"/>
                <w:b w:val="0"/>
                <w:sz w:val="15"/>
              </w:rPr>
              <w:t>ReminderScheduler.java + designpattern/observer package</w:t>
            </w:r>
          </w:p>
        </w:tc>
      </w:tr>
      <w:tr>
        <w:tc>
          <w:tcPr>
            <w:tcW w:type="dxa" w:w="2473"/>
            <w:vAlign w:val="center"/>
          </w:tcPr>
          <w:p>
            <w:pPr>
              <w:spacing w:after="0" w:line="240" w:lineRule="auto"/>
              <w:jc w:val="left"/>
            </w:pPr>
            <w:r/>
            <w:r>
              <w:rPr>
                <w:rFonts w:ascii="Times New Roman" w:hAnsi="Times New Roman" w:eastAsia="Times New Roman"/>
                <w:b w:val="0"/>
                <w:sz w:val="15"/>
              </w:rPr>
              <w:t>Ahamed M.S.S.</w:t>
              <w:br/>
              <w:t>IT25101473</w:t>
            </w:r>
          </w:p>
        </w:tc>
        <w:tc>
          <w:tcPr>
            <w:tcW w:type="dxa" w:w="2473"/>
            <w:vAlign w:val="center"/>
          </w:tcPr>
          <w:p>
            <w:pPr>
              <w:spacing w:after="0" w:line="240" w:lineRule="auto"/>
              <w:jc w:val="left"/>
            </w:pPr>
            <w:r/>
            <w:r>
              <w:rPr>
                <w:rFonts w:ascii="Times New Roman" w:hAnsi="Times New Roman" w:eastAsia="Times New Roman"/>
                <w:b w:val="0"/>
                <w:sz w:val="15"/>
              </w:rPr>
              <w:t>User Authentication and User Management</w:t>
            </w:r>
          </w:p>
        </w:tc>
        <w:tc>
          <w:tcPr>
            <w:tcW w:type="dxa" w:w="2473"/>
            <w:vAlign w:val="center"/>
          </w:tcPr>
          <w:p>
            <w:pPr>
              <w:spacing w:after="0" w:line="240" w:lineRule="auto"/>
              <w:jc w:val="left"/>
            </w:pPr>
            <w:r/>
            <w:r>
              <w:rPr>
                <w:rFonts w:ascii="Times New Roman" w:hAnsi="Times New Roman" w:eastAsia="Times New Roman"/>
                <w:b w:val="0"/>
                <w:sz w:val="15"/>
              </w:rPr>
              <w:t>INDIRECT - no pattern code changed; existing User ID identifies the event target.</w:t>
            </w:r>
          </w:p>
        </w:tc>
        <w:tc>
          <w:tcPr>
            <w:tcW w:type="dxa" w:w="2473"/>
            <w:vAlign w:val="center"/>
          </w:tcPr>
          <w:p>
            <w:pPr>
              <w:spacing w:after="0" w:line="240" w:lineRule="auto"/>
              <w:jc w:val="left"/>
            </w:pPr>
            <w:r/>
            <w:r>
              <w:rPr>
                <w:rFonts w:ascii="Times New Roman" w:hAnsi="Times New Roman" w:eastAsia="Times New Roman"/>
                <w:b w:val="0"/>
                <w:sz w:val="15"/>
              </w:rPr>
              <w:t>No direct change</w:t>
            </w:r>
          </w:p>
        </w:tc>
      </w:tr>
      <w:tr>
        <w:tc>
          <w:tcPr>
            <w:tcW w:type="dxa" w:w="2473"/>
            <w:vAlign w:val="center"/>
          </w:tcPr>
          <w:p>
            <w:pPr>
              <w:spacing w:after="0" w:line="240" w:lineRule="auto"/>
              <w:jc w:val="left"/>
            </w:pPr>
            <w:r/>
            <w:r>
              <w:rPr>
                <w:rFonts w:ascii="Times New Roman" w:hAnsi="Times New Roman" w:eastAsia="Times New Roman"/>
                <w:b w:val="0"/>
                <w:sz w:val="15"/>
              </w:rPr>
              <w:t>Harikesh S.</w:t>
              <w:br/>
              <w:t>IT25100139</w:t>
            </w:r>
          </w:p>
        </w:tc>
        <w:tc>
          <w:tcPr>
            <w:tcW w:type="dxa" w:w="2473"/>
            <w:vAlign w:val="center"/>
          </w:tcPr>
          <w:p>
            <w:pPr>
              <w:spacing w:after="0" w:line="240" w:lineRule="auto"/>
              <w:jc w:val="left"/>
            </w:pPr>
            <w:r/>
            <w:r>
              <w:rPr>
                <w:rFonts w:ascii="Times New Roman" w:hAnsi="Times New Roman" w:eastAsia="Times New Roman"/>
                <w:b w:val="0"/>
                <w:sz w:val="15"/>
              </w:rPr>
              <w:t>Book and Category Management</w:t>
            </w:r>
          </w:p>
        </w:tc>
        <w:tc>
          <w:tcPr>
            <w:tcW w:type="dxa" w:w="2473"/>
            <w:vAlign w:val="center"/>
          </w:tcPr>
          <w:p>
            <w:pPr>
              <w:spacing w:after="0" w:line="240" w:lineRule="auto"/>
              <w:jc w:val="left"/>
            </w:pPr>
            <w:r/>
            <w:r>
              <w:rPr>
                <w:rFonts w:ascii="Times New Roman" w:hAnsi="Times New Roman" w:eastAsia="Times New Roman"/>
                <w:b w:val="0"/>
                <w:sz w:val="15"/>
              </w:rPr>
              <w:t>INDIRECT - no pattern code changed; existing Book data is used in event messages.</w:t>
            </w:r>
          </w:p>
        </w:tc>
        <w:tc>
          <w:tcPr>
            <w:tcW w:type="dxa" w:w="2473"/>
            <w:vAlign w:val="center"/>
          </w:tcPr>
          <w:p>
            <w:pPr>
              <w:spacing w:after="0" w:line="240" w:lineRule="auto"/>
              <w:jc w:val="left"/>
            </w:pPr>
            <w:r/>
            <w:r>
              <w:rPr>
                <w:rFonts w:ascii="Times New Roman" w:hAnsi="Times New Roman" w:eastAsia="Times New Roman"/>
                <w:b w:val="0"/>
                <w:sz w:val="15"/>
              </w:rPr>
              <w:t>No direct change</w:t>
            </w:r>
          </w:p>
        </w:tc>
      </w:tr>
    </w:tbl>
    <w:p>
      <w:pPr>
        <w:pStyle w:val="Heading2"/>
      </w:pPr>
      <w:r>
        <w:t>3.1 Events Published</w:t>
      </w:r>
    </w:p>
    <w:p>
      <w:pPr>
        <w:jc w:val="both"/>
      </w:pPr>
      <w:r>
        <w:rPr>
          <w:rFonts w:ascii="Times New Roman" w:hAnsi="Times New Roman" w:eastAsia="Times New Roman"/>
          <w:sz w:val="21"/>
        </w:rPr>
        <w:t>The following events are now handled through the same Observer infrastructure: RESERVATION_CREATED, RESERVATION_STATUS_CHANGED, RESERVATION_CANCELLED, BOOK_ISSUED, BORROW_RENEWED, BOOK_RETURNED, FINE_CREATED, FINE_STATUS_CHANGED, DUE_DATE_REMINDER and OVERDUE_ALERT.</w:t>
      </w:r>
    </w:p>
    <w:p>
      <w:r>
        <w:br w:type="page"/>
      </w:r>
    </w:p>
    <w:p>
      <w:pPr>
        <w:pStyle w:val="Heading1"/>
      </w:pPr>
      <w:r>
        <w:t>4. Implementation Evidence</w:t>
      </w:r>
    </w:p>
    <w:p>
      <w:pPr>
        <w:jc w:val="both"/>
      </w:pPr>
      <w:r>
        <w:rPr>
          <w:rFonts w:ascii="Times New Roman" w:hAnsi="Times New Roman" w:eastAsia="Times New Roman"/>
          <w:sz w:val="21"/>
        </w:rPr>
        <w:t>The following shortened excerpts are based on the final project source. They show the required Subject/Observer structure and a real integration point in the application.</w:t>
      </w:r>
    </w:p>
    <w:p>
      <w:pPr>
        <w:pStyle w:val="Heading2"/>
      </w:pPr>
      <w:r>
        <w:t>4.1 Subject and Observer Interfaces</w:t>
      </w:r>
    </w:p>
    <w:tbl>
      <w:tblPr>
        <w:tblW w:type="auto" w:w="0"/>
        <w:jc w:val="center"/>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9893"/>
      </w:tblGrid>
      <w:tr>
        <w:tc>
          <w:tcPr>
            <w:tcW w:type="dxa" w:w="9893"/>
            <w:shd w:fill="F7F8FA"/>
          </w:tcPr>
          <w:p>
            <w:pPr>
              <w:pStyle w:val="Code"/>
              <w:spacing w:after="0"/>
            </w:pPr>
            <w:r/>
            <w:r>
              <w:rPr>
                <w:rFonts w:ascii="Courier New" w:hAnsi="Courier New" w:eastAsia="Courier New"/>
                <w:sz w:val="16"/>
              </w:rPr>
              <w:t>public interface LibraryEventSubject {</w:t>
            </w:r>
          </w:p>
          <w:p>
            <w:pPr>
              <w:pStyle w:val="Code"/>
              <w:spacing w:after="0"/>
            </w:pPr>
            <w:r>
              <w:rPr>
                <w:rFonts w:ascii="Courier New" w:hAnsi="Courier New" w:eastAsia="Courier New"/>
                <w:sz w:val="16"/>
              </w:rPr>
              <w:t xml:space="preserve">    void addObserver(LibraryObserver observer);</w:t>
            </w:r>
          </w:p>
          <w:p>
            <w:pPr>
              <w:pStyle w:val="Code"/>
              <w:spacing w:after="0"/>
            </w:pPr>
            <w:r>
              <w:rPr>
                <w:rFonts w:ascii="Courier New" w:hAnsi="Courier New" w:eastAsia="Courier New"/>
                <w:sz w:val="16"/>
              </w:rPr>
              <w:t xml:space="preserve">    void removeObserver(LibraryObserver observer);</w:t>
            </w:r>
          </w:p>
          <w:p>
            <w:pPr>
              <w:pStyle w:val="Code"/>
              <w:spacing w:after="0"/>
            </w:pPr>
            <w:r>
              <w:rPr>
                <w:rFonts w:ascii="Courier New" w:hAnsi="Courier New" w:eastAsia="Courier New"/>
                <w:sz w:val="16"/>
              </w:rPr>
              <w:t xml:space="preserve">    void notifyObservers(LibraryEvent event);</w:t>
            </w:r>
          </w:p>
          <w:p>
            <w:pPr>
              <w:pStyle w:val="Code"/>
              <w:spacing w:after="0"/>
            </w:pPr>
            <w:r>
              <w:rPr>
                <w:rFonts w:ascii="Courier New" w:hAnsi="Courier New" w:eastAsia="Courier New"/>
                <w:sz w:val="16"/>
              </w:rPr>
              <w:t>}</w:t>
            </w:r>
          </w:p>
          <w:p>
            <w:pPr>
              <w:pStyle w:val="Code"/>
              <w:spacing w:after="0"/>
            </w:pPr>
            <w:r>
              <w:rPr>
                <w:rFonts w:ascii="Courier New" w:hAnsi="Courier New" w:eastAsia="Courier New"/>
                <w:sz w:val="16"/>
              </w:rPr>
            </w:r>
          </w:p>
          <w:p>
            <w:pPr>
              <w:pStyle w:val="Code"/>
              <w:spacing w:after="0"/>
            </w:pPr>
            <w:r>
              <w:rPr>
                <w:rFonts w:ascii="Courier New" w:hAnsi="Courier New" w:eastAsia="Courier New"/>
                <w:sz w:val="16"/>
              </w:rPr>
              <w:t>public interface LibraryObserver {</w:t>
            </w:r>
          </w:p>
          <w:p>
            <w:pPr>
              <w:pStyle w:val="Code"/>
              <w:spacing w:after="0"/>
            </w:pPr>
            <w:r>
              <w:rPr>
                <w:rFonts w:ascii="Courier New" w:hAnsi="Courier New" w:eastAsia="Courier New"/>
                <w:sz w:val="16"/>
              </w:rPr>
              <w:t xml:space="preserve">    void update(LibraryEvent event);</w:t>
            </w:r>
          </w:p>
          <w:p>
            <w:pPr>
              <w:pStyle w:val="Code"/>
              <w:spacing w:after="0"/>
            </w:pPr>
            <w:r>
              <w:rPr>
                <w:rFonts w:ascii="Courier New" w:hAnsi="Courier New" w:eastAsia="Courier New"/>
                <w:sz w:val="16"/>
              </w:rPr>
              <w:t>}</w:t>
            </w:r>
          </w:p>
        </w:tc>
      </w:tr>
    </w:tbl>
    <w:p>
      <w:pPr>
        <w:pStyle w:val="Heading2"/>
      </w:pPr>
      <w:r>
        <w:t>4.2 Concrete Subject Broadcast</w:t>
      </w:r>
    </w:p>
    <w:tbl>
      <w:tblPr>
        <w:tblW w:type="auto" w:w="0"/>
        <w:jc w:val="center"/>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9893"/>
      </w:tblGrid>
      <w:tr>
        <w:tc>
          <w:tcPr>
            <w:tcW w:type="dxa" w:w="9893"/>
            <w:shd w:fill="F7F8FA"/>
          </w:tcPr>
          <w:p>
            <w:pPr>
              <w:pStyle w:val="Code"/>
              <w:spacing w:after="0"/>
            </w:pPr>
            <w:r/>
            <w:r>
              <w:rPr>
                <w:rFonts w:ascii="Courier New" w:hAnsi="Courier New" w:eastAsia="Courier New"/>
                <w:sz w:val="16"/>
              </w:rPr>
              <w:t>@Component</w:t>
            </w:r>
          </w:p>
          <w:p>
            <w:pPr>
              <w:pStyle w:val="Code"/>
              <w:spacing w:after="0"/>
            </w:pPr>
            <w:r>
              <w:rPr>
                <w:rFonts w:ascii="Courier New" w:hAnsi="Courier New" w:eastAsia="Courier New"/>
                <w:sz w:val="16"/>
              </w:rPr>
              <w:t>public class LibraryNotificationSubject implements LibraryEventSubject {</w:t>
            </w:r>
          </w:p>
          <w:p>
            <w:pPr>
              <w:pStyle w:val="Code"/>
              <w:spacing w:after="0"/>
            </w:pPr>
            <w:r>
              <w:rPr>
                <w:rFonts w:ascii="Courier New" w:hAnsi="Courier New" w:eastAsia="Courier New"/>
                <w:sz w:val="16"/>
              </w:rPr>
              <w:t xml:space="preserve">    private final List&lt;LibraryObserver&gt; observers = new CopyOnWriteArrayList&lt;&gt;();</w:t>
            </w:r>
          </w:p>
          <w:p>
            <w:pPr>
              <w:pStyle w:val="Code"/>
              <w:spacing w:after="0"/>
            </w:pPr>
            <w:r>
              <w:rPr>
                <w:rFonts w:ascii="Courier New" w:hAnsi="Courier New" w:eastAsia="Courier New"/>
                <w:sz w:val="16"/>
              </w:rPr>
            </w:r>
          </w:p>
          <w:p>
            <w:pPr>
              <w:pStyle w:val="Code"/>
              <w:spacing w:after="0"/>
            </w:pPr>
            <w:r>
              <w:rPr>
                <w:rFonts w:ascii="Courier New" w:hAnsi="Courier New" w:eastAsia="Courier New"/>
                <w:sz w:val="16"/>
              </w:rPr>
              <w:t xml:space="preserve">    public LibraryNotificationSubject(List&lt;LibraryObserver&gt; discoveredObservers) {</w:t>
            </w:r>
          </w:p>
          <w:p>
            <w:pPr>
              <w:pStyle w:val="Code"/>
              <w:spacing w:after="0"/>
            </w:pPr>
            <w:r>
              <w:rPr>
                <w:rFonts w:ascii="Courier New" w:hAnsi="Courier New" w:eastAsia="Courier New"/>
                <w:sz w:val="16"/>
              </w:rPr>
              <w:t xml:space="preserve">        observers.addAll(discoveredObservers);</w:t>
            </w:r>
          </w:p>
          <w:p>
            <w:pPr>
              <w:pStyle w:val="Code"/>
              <w:spacing w:after="0"/>
            </w:pPr>
            <w:r>
              <w:rPr>
                <w:rFonts w:ascii="Courier New" w:hAnsi="Courier New" w:eastAsia="Courier New"/>
                <w:sz w:val="16"/>
              </w:rPr>
              <w:t xml:space="preserve">    }</w:t>
            </w:r>
          </w:p>
          <w:p>
            <w:pPr>
              <w:pStyle w:val="Code"/>
              <w:spacing w:after="0"/>
            </w:pPr>
            <w:r>
              <w:rPr>
                <w:rFonts w:ascii="Courier New" w:hAnsi="Courier New" w:eastAsia="Courier New"/>
                <w:sz w:val="16"/>
              </w:rPr>
            </w:r>
          </w:p>
          <w:p>
            <w:pPr>
              <w:pStyle w:val="Code"/>
              <w:spacing w:after="0"/>
            </w:pPr>
            <w:r>
              <w:rPr>
                <w:rFonts w:ascii="Courier New" w:hAnsi="Courier New" w:eastAsia="Courier New"/>
                <w:sz w:val="16"/>
              </w:rPr>
              <w:t xml:space="preserve">    public void notifyObservers(LibraryEvent event) {</w:t>
            </w:r>
          </w:p>
          <w:p>
            <w:pPr>
              <w:pStyle w:val="Code"/>
              <w:spacing w:after="0"/>
            </w:pPr>
            <w:r>
              <w:rPr>
                <w:rFonts w:ascii="Courier New" w:hAnsi="Courier New" w:eastAsia="Courier New"/>
                <w:sz w:val="16"/>
              </w:rPr>
              <w:t xml:space="preserve">        for (LibraryObserver observer : observers) {</w:t>
            </w:r>
          </w:p>
          <w:p>
            <w:pPr>
              <w:pStyle w:val="Code"/>
              <w:spacing w:after="0"/>
            </w:pPr>
            <w:r>
              <w:rPr>
                <w:rFonts w:ascii="Courier New" w:hAnsi="Courier New" w:eastAsia="Courier New"/>
                <w:sz w:val="16"/>
              </w:rPr>
              <w:t xml:space="preserve">            observer.update(event);</w:t>
            </w:r>
          </w:p>
          <w:p>
            <w:pPr>
              <w:pStyle w:val="Code"/>
              <w:spacing w:after="0"/>
            </w:pPr>
            <w:r>
              <w:rPr>
                <w:rFonts w:ascii="Courier New" w:hAnsi="Courier New" w:eastAsia="Courier New"/>
                <w:sz w:val="16"/>
              </w:rPr>
              <w:t xml:space="preserve">        }</w:t>
            </w:r>
          </w:p>
          <w:p>
            <w:pPr>
              <w:pStyle w:val="Code"/>
              <w:spacing w:after="0"/>
            </w:pPr>
            <w:r>
              <w:rPr>
                <w:rFonts w:ascii="Courier New" w:hAnsi="Courier New" w:eastAsia="Courier New"/>
                <w:sz w:val="16"/>
              </w:rPr>
              <w:t xml:space="preserve">    }</w:t>
            </w:r>
          </w:p>
          <w:p>
            <w:pPr>
              <w:pStyle w:val="Code"/>
              <w:spacing w:after="0"/>
            </w:pPr>
            <w:r>
              <w:rPr>
                <w:rFonts w:ascii="Courier New" w:hAnsi="Courier New" w:eastAsia="Courier New"/>
                <w:sz w:val="16"/>
              </w:rPr>
              <w:t>}</w:t>
            </w:r>
          </w:p>
        </w:tc>
      </w:tr>
    </w:tbl>
    <w:p>
      <w:pPr>
        <w:pStyle w:val="Heading2"/>
      </w:pPr>
      <w:r>
        <w:t>4.3 Example Publisher - Reservation Function</w:t>
      </w:r>
    </w:p>
    <w:tbl>
      <w:tblPr>
        <w:tblW w:type="auto" w:w="0"/>
        <w:jc w:val="center"/>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9893"/>
      </w:tblGrid>
      <w:tr>
        <w:tc>
          <w:tcPr>
            <w:tcW w:type="dxa" w:w="9893"/>
            <w:shd w:fill="F7F8FA"/>
          </w:tcPr>
          <w:p>
            <w:pPr>
              <w:pStyle w:val="Code"/>
              <w:spacing w:after="0"/>
            </w:pPr>
            <w:r/>
            <w:r>
              <w:rPr>
                <w:rFonts w:ascii="Courier New" w:hAnsi="Courier New" w:eastAsia="Courier New"/>
                <w:sz w:val="16"/>
              </w:rPr>
              <w:t>eventSubject.notifyObservers(new LibraryEvent(</w:t>
            </w:r>
          </w:p>
          <w:p>
            <w:pPr>
              <w:pStyle w:val="Code"/>
              <w:spacing w:after="0"/>
            </w:pPr>
            <w:r>
              <w:rPr>
                <w:rFonts w:ascii="Courier New" w:hAnsi="Courier New" w:eastAsia="Courier New"/>
                <w:sz w:val="16"/>
              </w:rPr>
              <w:t xml:space="preserve">    memberId,</w:t>
            </w:r>
          </w:p>
          <w:p>
            <w:pPr>
              <w:pStyle w:val="Code"/>
              <w:spacing w:after="0"/>
            </w:pPr>
            <w:r>
              <w:rPr>
                <w:rFonts w:ascii="Courier New" w:hAnsi="Courier New" w:eastAsia="Courier New"/>
                <w:sz w:val="16"/>
              </w:rPr>
              <w:t xml:space="preserve">    "Reservation created",</w:t>
            </w:r>
          </w:p>
          <w:p>
            <w:pPr>
              <w:pStyle w:val="Code"/>
              <w:spacing w:after="0"/>
            </w:pPr>
            <w:r>
              <w:rPr>
                <w:rFonts w:ascii="Courier New" w:hAnsi="Courier New" w:eastAsia="Courier New"/>
                <w:sz w:val="16"/>
              </w:rPr>
              <w:t xml:space="preserve">    "Your reservation for '" + book.getTitle() + "' is active.",</w:t>
            </w:r>
          </w:p>
          <w:p>
            <w:pPr>
              <w:pStyle w:val="Code"/>
              <w:spacing w:after="0"/>
            </w:pPr>
            <w:r>
              <w:rPr>
                <w:rFonts w:ascii="Courier New" w:hAnsi="Courier New" w:eastAsia="Courier New"/>
                <w:sz w:val="16"/>
              </w:rPr>
              <w:t xml:space="preserve">    NotificationType.RESERVATION,</w:t>
            </w:r>
          </w:p>
          <w:p>
            <w:pPr>
              <w:pStyle w:val="Code"/>
              <w:spacing w:after="0"/>
            </w:pPr>
            <w:r>
              <w:rPr>
                <w:rFonts w:ascii="Courier New" w:hAnsi="Courier New" w:eastAsia="Courier New"/>
                <w:sz w:val="16"/>
              </w:rPr>
              <w:t xml:space="preserve">    "Book Search and Reservation Management",</w:t>
            </w:r>
          </w:p>
          <w:p>
            <w:pPr>
              <w:pStyle w:val="Code"/>
              <w:spacing w:after="0"/>
            </w:pPr>
            <w:r>
              <w:rPr>
                <w:rFonts w:ascii="Courier New" w:hAnsi="Courier New" w:eastAsia="Courier New"/>
                <w:sz w:val="16"/>
              </w:rPr>
              <w:t xml:space="preserve">    "RESERVATION_CREATED"</w:t>
            </w:r>
          </w:p>
          <w:p>
            <w:pPr>
              <w:pStyle w:val="Code"/>
              <w:spacing w:after="0"/>
            </w:pPr>
            <w:r>
              <w:rPr>
                <w:rFonts w:ascii="Courier New" w:hAnsi="Courier New" w:eastAsia="Courier New"/>
                <w:sz w:val="16"/>
              </w:rPr>
              <w:t>));</w:t>
            </w:r>
          </w:p>
        </w:tc>
      </w:tr>
    </w:tbl>
    <w:p>
      <w:pPr>
        <w:pStyle w:val="Heading2"/>
      </w:pPr>
      <w:r>
        <w:t>4.4 Concrete Observers</w:t>
      </w:r>
    </w:p>
    <w:tbl>
      <w:tblPr>
        <w:tblW w:type="auto" w:w="0"/>
        <w:jc w:val="center"/>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9893"/>
      </w:tblGrid>
      <w:tr>
        <w:tc>
          <w:tcPr>
            <w:tcW w:type="dxa" w:w="9893"/>
            <w:shd w:fill="F7F8FA"/>
          </w:tcPr>
          <w:p>
            <w:pPr>
              <w:pStyle w:val="Code"/>
              <w:spacing w:after="0"/>
            </w:pPr>
            <w:r/>
            <w:r>
              <w:rPr>
                <w:rFonts w:ascii="Courier New" w:hAnsi="Courier New" w:eastAsia="Courier New"/>
                <w:sz w:val="16"/>
              </w:rPr>
              <w:t>// Member-facing notification observer</w:t>
            </w:r>
          </w:p>
          <w:p>
            <w:pPr>
              <w:pStyle w:val="Code"/>
              <w:spacing w:after="0"/>
            </w:pPr>
            <w:r>
              <w:rPr>
                <w:rFonts w:ascii="Courier New" w:hAnsi="Courier New" w:eastAsia="Courier New"/>
                <w:sz w:val="16"/>
              </w:rPr>
              <w:t>notificationService.send(event.userId(), event.title(),</w:t>
            </w:r>
          </w:p>
          <w:p>
            <w:pPr>
              <w:pStyle w:val="Code"/>
              <w:spacing w:after="0"/>
            </w:pPr>
            <w:r>
              <w:rPr>
                <w:rFonts w:ascii="Courier New" w:hAnsi="Courier New" w:eastAsia="Courier New"/>
                <w:sz w:val="16"/>
              </w:rPr>
              <w:t xml:space="preserve">        event.message(), event.notificationType());</w:t>
            </w:r>
          </w:p>
          <w:p>
            <w:pPr>
              <w:pStyle w:val="Code"/>
              <w:spacing w:after="0"/>
            </w:pPr>
            <w:r>
              <w:rPr>
                <w:rFonts w:ascii="Courier New" w:hAnsi="Courier New" w:eastAsia="Courier New"/>
                <w:sz w:val="16"/>
              </w:rPr>
            </w:r>
          </w:p>
          <w:p>
            <w:pPr>
              <w:pStyle w:val="Code"/>
              <w:spacing w:after="0"/>
            </w:pPr>
            <w:r>
              <w:rPr>
                <w:rFonts w:ascii="Courier New" w:hAnsi="Courier New" w:eastAsia="Courier New"/>
                <w:sz w:val="16"/>
              </w:rPr>
              <w:t>// Administrator audit observer</w:t>
            </w:r>
          </w:p>
          <w:p>
            <w:pPr>
              <w:pStyle w:val="Code"/>
              <w:spacing w:after="0"/>
            </w:pPr>
            <w:r>
              <w:rPr>
                <w:rFonts w:ascii="Courier New" w:hAnsi="Courier New" w:eastAsia="Courier New"/>
                <w:sz w:val="16"/>
              </w:rPr>
              <w:t>activityLogService.log("SYSTEM-OBSERVER",</w:t>
            </w:r>
          </w:p>
          <w:p>
            <w:pPr>
              <w:pStyle w:val="Code"/>
              <w:spacing w:after="0"/>
            </w:pPr>
            <w:r>
              <w:rPr>
                <w:rFonts w:ascii="Courier New" w:hAnsi="Courier New" w:eastAsia="Courier New"/>
                <w:sz w:val="16"/>
              </w:rPr>
              <w:t xml:space="preserve">        "OBSERVER_NOTIFICATION", details);</w:t>
            </w:r>
          </w:p>
        </w:tc>
      </w:tr>
    </w:tbl>
    <w:p>
      <w:r>
        <w:br w:type="page"/>
      </w:r>
    </w:p>
    <w:p>
      <w:pPr>
        <w:pStyle w:val="Heading1"/>
      </w:pPr>
      <w:r>
        <w:t>5. Final Presentation Demonstration</w:t>
      </w:r>
    </w:p>
    <w:p>
      <w:pPr>
        <w:jc w:val="both"/>
      </w:pPr>
      <w:r>
        <w:rPr>
          <w:rFonts w:ascii="Times New Roman" w:hAnsi="Times New Roman" w:eastAsia="Times New Roman"/>
          <w:sz w:val="21"/>
        </w:rPr>
        <w:t>The pattern can be demonstrated using the normal application UI; no special demo-only screen is required.</w:t>
      </w:r>
    </w:p>
    <w:p>
      <w:pPr>
        <w:spacing w:after="60"/>
      </w:pPr>
      <w:r>
        <w:rPr>
          <w:rFonts w:ascii="Times New Roman" w:hAnsi="Times New Roman"/>
          <w:sz w:val="20"/>
        </w:rPr>
        <w:t>1. Run the project on the Windows laptop exactly as before: start SQL Server, use JDK 17, and run SmartLibraryApplication.java or RUN_LIBRARY.bat.</w:t>
      </w:r>
    </w:p>
    <w:p>
      <w:pPr>
        <w:spacing w:after="60"/>
      </w:pPr>
      <w:r>
        <w:rPr>
          <w:rFonts w:ascii="Times New Roman" w:hAnsi="Times New Roman"/>
          <w:sz w:val="20"/>
        </w:rPr>
        <w:t>2. Log in as a Library Member and reserve an available book.</w:t>
      </w:r>
    </w:p>
    <w:p>
      <w:pPr>
        <w:spacing w:after="60"/>
      </w:pPr>
      <w:r>
        <w:rPr>
          <w:rFonts w:ascii="Times New Roman" w:hAnsi="Times New Roman"/>
          <w:sz w:val="20"/>
        </w:rPr>
        <w:t>3. Open Member Dashboard -&gt; Notifications and show the new reservation notification.</w:t>
      </w:r>
    </w:p>
    <w:p>
      <w:pPr>
        <w:spacing w:after="60"/>
      </w:pPr>
      <w:r>
        <w:rPr>
          <w:rFonts w:ascii="Times New Roman" w:hAnsi="Times New Roman"/>
          <w:sz w:val="20"/>
        </w:rPr>
        <w:t>4. Log in as Administrator and open Activity Logs. Show the matching OBSERVER_NOTIFICATION record created from the same event.</w:t>
      </w:r>
    </w:p>
    <w:p>
      <w:pPr>
        <w:spacing w:after="60"/>
      </w:pPr>
      <w:r>
        <w:rPr>
          <w:rFonts w:ascii="Times New Roman" w:hAnsi="Times New Roman"/>
          <w:sz w:val="20"/>
        </w:rPr>
        <w:t>5. Log in as Librarian and issue or renew a book for the member; then show the resulting member notification and admin audit entry.</w:t>
      </w:r>
    </w:p>
    <w:p>
      <w:pPr>
        <w:spacing w:after="60"/>
      </w:pPr>
      <w:r>
        <w:rPr>
          <w:rFonts w:ascii="Times New Roman" w:hAnsi="Times New Roman"/>
          <w:sz w:val="20"/>
        </w:rPr>
        <w:t>6. For the return/fine function, return an overdue book and show the fine notification. Updating the fine status also publishes an Observer event.</w:t>
      </w:r>
    </w:p>
    <w:p>
      <w:pPr>
        <w:spacing w:after="60"/>
      </w:pPr>
      <w:r>
        <w:rPr>
          <w:rFonts w:ascii="Times New Roman" w:hAnsi="Times New Roman"/>
          <w:sz w:val="20"/>
        </w:rPr>
        <w:t>7. Point to the IntelliJ console line beginning with [OBSERVER] to explain that one event is being broadcast to multiple observers.</w:t>
      </w:r>
    </w:p>
    <w:p>
      <w:pPr>
        <w:pStyle w:val="Heading2"/>
      </w:pPr>
      <w:r>
        <w:t>5.1 Suggested Viva Explanation</w:t>
      </w:r>
    </w:p>
    <w:p>
      <w:pPr>
        <w:spacing w:before="60" w:after="120"/>
        <w:ind w:left="360" w:right="360"/>
      </w:pPr>
      <w:r>
        <w:rPr>
          <w:rFonts w:ascii="Times New Roman" w:hAnsi="Times New Roman"/>
          <w:i/>
          <w:sz w:val="20"/>
        </w:rPr>
        <w:t>"We used the Observer Pattern because a single library event can require multiple independent reactions. The service publishes one LibraryEvent. LibraryNotificationSubject is the Concrete Subject and automatically notifies all LibraryObserver implementations. InAppNotificationObserver creates the member notification, while NotificationActivityLogObserver creates an administrator audit entry. This keeps reservation, borrowing and fine logic loosely coupled from the notification channels and makes it easy to add another observer later."</w:t>
      </w:r>
    </w:p>
    <w:p>
      <w:pPr>
        <w:pStyle w:val="Heading2"/>
      </w:pPr>
      <w:r>
        <w:t>5.2 Windows Files Added for Verification</w:t>
      </w:r>
    </w:p>
    <w:p>
      <w:pPr>
        <w:pStyle w:val="ListBullet"/>
        <w:spacing w:after="40"/>
      </w:pPr>
      <w:r>
        <w:t>TEST_OBSERVER_PATTERN.bat - runs the focused Observer unit test.</w:t>
      </w:r>
    </w:p>
    <w:p>
      <w:pPr>
        <w:pStyle w:val="ListBullet"/>
        <w:spacing w:after="40"/>
      </w:pPr>
      <w:r>
        <w:t>FINAL_CHECK.bat - compiles the complete project and runs tests with Gradle.</w:t>
      </w:r>
    </w:p>
    <w:p>
      <w:pPr>
        <w:pStyle w:val="ListBullet"/>
        <w:spacing w:after="40"/>
      </w:pPr>
      <w:r>
        <w:rPr>
          <w:rFonts w:ascii="Times New Roman" w:hAnsi="Times New Roman" w:eastAsia="Times New Roman"/>
          <w:sz w:val="20"/>
        </w:rPr>
        <w:t>DESIGN_PATTERN_IMPLEMENTATION.md - detailed class/event/member mapping included in the project ZIP.</w:t>
      </w:r>
    </w:p>
    <w:p>
      <w:r>
        <w:br w:type="page"/>
      </w:r>
    </w:p>
    <w:p>
      <w:pPr>
        <w:pStyle w:val="Heading1"/>
      </w:pPr>
      <w:r>
        <w:t>6. Verification and Final Notes</w:t>
      </w:r>
    </w:p>
    <w:p>
      <w:pPr>
        <w:jc w:val="both"/>
      </w:pPr>
      <w:r>
        <w:rPr>
          <w:rFonts w:ascii="Times New Roman" w:hAnsi="Times New Roman" w:eastAsia="Times New Roman"/>
          <w:sz w:val="21"/>
        </w:rPr>
        <w:t>The design-pattern package and every affected service class were syntax/type checked against the project interfaces and entities using Java compilation with local framework stubs. The modified subset compiled successfully. A standalone Observer smoke test also passed, confirming that one event is delivered to two registered observers.</w:t>
      </w:r>
    </w:p>
    <w:p>
      <w:pPr>
        <w:jc w:val="both"/>
      </w:pPr>
      <w:r>
        <w:rPr>
          <w:rFonts w:ascii="Times New Roman" w:hAnsi="Times New Roman" w:eastAsia="Times New Roman"/>
          <w:b/>
          <w:sz w:val="21"/>
        </w:rPr>
        <w:t>The full Gradle/Spring Boot build could not be executed inside the preparation environment</w:t>
      </w:r>
      <w:r>
        <w:rPr>
          <w:rFonts w:ascii="Times New Roman" w:hAnsi="Times New Roman" w:eastAsia="Times New Roman"/>
          <w:sz w:val="21"/>
        </w:rPr>
        <w:t xml:space="preserve"> because the Gradle wrapper attempted to download its distribution and this environment has no external network access. The supplied Windows project therefore includes FINAL_CHECK.bat so the team can perform the complete Gradle compile/test check on the presentation laptop before the final demonstration.</w:t>
      </w:r>
    </w:p>
    <w:p>
      <w:pPr>
        <w:pStyle w:val="Heading2"/>
      </w:pPr>
      <w:r>
        <w:t>6.1 Final Checklist Before Presentation</w:t>
      </w:r>
    </w:p>
    <w:p>
      <w:pPr>
        <w:pStyle w:val="ListBullet"/>
        <w:spacing w:after="40"/>
      </w:pPr>
      <w:r>
        <w:rPr>
          <w:rFonts w:ascii="Times New Roman" w:hAnsi="Times New Roman" w:eastAsia="Times New Roman"/>
          <w:sz w:val="20"/>
        </w:rPr>
        <w:t>Run FINAL_CHECK.bat once while the laptop has the required Gradle dependencies available.</w:t>
      </w:r>
    </w:p>
    <w:p>
      <w:pPr>
        <w:pStyle w:val="ListBullet"/>
        <w:spacing w:after="40"/>
      </w:pPr>
      <w:r>
        <w:rPr>
          <w:rFonts w:ascii="Times New Roman" w:hAnsi="Times New Roman" w:eastAsia="Times New Roman"/>
          <w:sz w:val="20"/>
        </w:rPr>
        <w:t>Start SQL Server and confirm the existing database connection in application.properties.</w:t>
      </w:r>
    </w:p>
    <w:p>
      <w:pPr>
        <w:pStyle w:val="ListBullet"/>
        <w:spacing w:after="40"/>
      </w:pPr>
      <w:r>
        <w:rPr>
          <w:rFonts w:ascii="Times New Roman" w:hAnsi="Times New Roman" w:eastAsia="Times New Roman"/>
          <w:sz w:val="20"/>
        </w:rPr>
        <w:t>Run the application and complete one reservation, one borrowing/renewal and one return/fine flow.</w:t>
      </w:r>
    </w:p>
    <w:p>
      <w:pPr>
        <w:pStyle w:val="ListBullet"/>
        <w:spacing w:after="40"/>
      </w:pPr>
      <w:r>
        <w:rPr>
          <w:rFonts w:ascii="Times New Roman" w:hAnsi="Times New Roman" w:eastAsia="Times New Roman"/>
          <w:sz w:val="20"/>
        </w:rPr>
        <w:t>Confirm Member Dashboard -&gt; Notifications shows the generated messages.</w:t>
      </w:r>
    </w:p>
    <w:p>
      <w:pPr>
        <w:pStyle w:val="ListBullet"/>
        <w:spacing w:after="40"/>
      </w:pPr>
      <w:r>
        <w:rPr>
          <w:rFonts w:ascii="Times New Roman" w:hAnsi="Times New Roman" w:eastAsia="Times New Roman"/>
          <w:sz w:val="20"/>
        </w:rPr>
        <w:t>Confirm Admin Dashboard -&gt; Activity Logs shows OBSERVER_NOTIFICATION records.</w:t>
      </w:r>
    </w:p>
    <w:p>
      <w:pPr>
        <w:pStyle w:val="ListBullet"/>
        <w:spacing w:after="40"/>
      </w:pPr>
      <w:r>
        <w:rPr>
          <w:rFonts w:ascii="Times New Roman" w:hAnsi="Times New Roman" w:eastAsia="Times New Roman"/>
          <w:sz w:val="20"/>
        </w:rPr>
        <w:t>Make sure the member responsible for each directly affected function understands where that function publishes its LibraryEvent.</w:t>
      </w:r>
    </w:p>
    <w:p>
      <w:pPr>
        <w:pStyle w:val="ListBullet"/>
        <w:spacing w:after="40"/>
      </w:pPr>
      <w:r>
        <w:rPr>
          <w:rFonts w:ascii="Times New Roman" w:hAnsi="Times New Roman" w:eastAsia="Times New Roman"/>
          <w:sz w:val="20"/>
        </w:rPr>
        <w:t>Keep DESIGN_PATTERN_IMPLEMENTATION.md open as a quick viva reference.</w:t>
      </w:r>
    </w:p>
    <w:p>
      <w:pPr>
        <w:pStyle w:val="Heading2"/>
      </w:pPr>
      <w:r>
        <w:t>6.2 Result</w:t>
      </w:r>
    </w:p>
    <w:p>
      <w:pPr>
        <w:jc w:val="both"/>
      </w:pPr>
      <w:r>
        <w:rPr>
          <w:rFonts w:ascii="Times New Roman" w:hAnsi="Times New Roman" w:eastAsia="Times New Roman"/>
          <w:sz w:val="21"/>
        </w:rPr>
        <w:t>The Observer Pattern is now integrated into the actual Web-Based Library Management System rather than remaining only as a design recommendation. It directly supports four major functional areas while preserving the existing Windows run workflow and without requiring a new external dependency or database table.</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Observer Design Pattern Implementation - SmartLibrary Connect</dc:title>
  <dc:subject>SE2030 Web-Based Library Management System - Design Pattern Integration</dc:subject>
  <dc:creator>2026-Y2-S1-MLB-B10G2-09</dc:creator>
  <cp:keywords/>
  <dc:description>generated by python-docx</dc:description>
  <cp:lastModifiedBy/>
  <cp:revision>1</cp:revision>
  <dcterms:created xsi:type="dcterms:W3CDTF">2013-12-23T23:15:00Z</dcterms:created>
  <dcterms:modified xsi:type="dcterms:W3CDTF">2013-12-23T23:15:00Z</dcterms:modified>
  <cp:category/>
</cp:coreProperties>
</file>