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1304CB" w14:textId="77777777" w:rsidR="00CC4204" w:rsidRDefault="00CC4204" w:rsidP="00CC4204">
      <w:pPr>
        <w:spacing w:before="240" w:after="0" w:line="360" w:lineRule="auto"/>
        <w:jc w:val="both"/>
        <w:outlineLvl w:val="2"/>
        <w:rPr>
          <w:rFonts w:ascii="Arial" w:eastAsia="Times New Roman" w:hAnsi="Arial" w:cs="Arial"/>
          <w:b/>
          <w:bCs/>
          <w:kern w:val="0"/>
          <w14:ligatures w14:val="none"/>
        </w:rPr>
      </w:pPr>
    </w:p>
    <w:p w14:paraId="06698910" w14:textId="3BABE259" w:rsidR="00E75B21" w:rsidRPr="00A47980" w:rsidRDefault="00E75B21" w:rsidP="00CC4204">
      <w:pPr>
        <w:spacing w:before="240" w:after="0" w:line="360" w:lineRule="auto"/>
        <w:jc w:val="both"/>
        <w:outlineLvl w:val="2"/>
        <w:rPr>
          <w:rFonts w:ascii="SimSun" w:eastAsia="SimSun" w:hAnsi="SimSun" w:cs="SimSun"/>
          <w:b/>
          <w:bCs/>
          <w:kern w:val="0"/>
          <w14:ligatures w14:val="none"/>
        </w:rPr>
      </w:pPr>
      <w:r w:rsidRPr="00A47980">
        <w:rPr>
          <w:rFonts w:ascii="Arial" w:eastAsia="Times New Roman" w:hAnsi="Arial" w:cs="Arial"/>
          <w:b/>
          <w:bCs/>
          <w:kern w:val="0"/>
          <w14:ligatures w14:val="none"/>
        </w:rPr>
        <w:t>Literature Review</w:t>
      </w:r>
    </w:p>
    <w:p w14:paraId="6DEEE37F" w14:textId="77777777" w:rsidR="00A47980" w:rsidRDefault="00E75B21" w:rsidP="00CC4204">
      <w:pPr>
        <w:spacing w:before="240" w:after="0" w:line="360" w:lineRule="auto"/>
        <w:jc w:val="both"/>
        <w:outlineLvl w:val="2"/>
        <w:rPr>
          <w:rFonts w:ascii="Arial" w:eastAsia="Times New Roman" w:hAnsi="Arial" w:cs="Arial"/>
          <w:b/>
          <w:bCs/>
          <w:kern w:val="0"/>
          <w14:ligatures w14:val="none"/>
        </w:rPr>
      </w:pPr>
      <w:r w:rsidRPr="00A47980">
        <w:rPr>
          <w:rFonts w:ascii="Arial" w:eastAsia="Times New Roman" w:hAnsi="Arial" w:cs="Arial"/>
          <w:b/>
          <w:bCs/>
          <w:kern w:val="0"/>
          <w14:ligatures w14:val="none"/>
        </w:rPr>
        <w:t>Delivery Performance and Business Outcomes</w:t>
      </w:r>
    </w:p>
    <w:p w14:paraId="5817A55F" w14:textId="2E2FA5D3" w:rsidR="00E75B21" w:rsidRPr="00A47980" w:rsidRDefault="00E75B21" w:rsidP="00CC4204">
      <w:pPr>
        <w:spacing w:after="0" w:line="360" w:lineRule="auto"/>
        <w:jc w:val="both"/>
        <w:outlineLvl w:val="2"/>
        <w:rPr>
          <w:rFonts w:ascii="Arial" w:eastAsia="Times New Roman" w:hAnsi="Arial" w:cs="Arial"/>
          <w:b/>
          <w:bCs/>
          <w:kern w:val="0"/>
          <w14:ligatures w14:val="none"/>
        </w:rPr>
      </w:pPr>
      <w:r w:rsidRPr="00A47980">
        <w:rPr>
          <w:rFonts w:ascii="Arial" w:eastAsia="Times New Roman" w:hAnsi="Arial" w:cs="Arial"/>
          <w:kern w:val="0"/>
          <w:sz w:val="22"/>
          <w:szCs w:val="22"/>
          <w14:ligatures w14:val="none"/>
        </w:rPr>
        <w:t xml:space="preserve">Faster delivery promises can increase short-term sales, profits and order value, but overly aggressive promises may increase the risk of late delivery relative to customer expectations and reduce retention (Cui et al., </w:t>
      </w:r>
      <w:r w:rsidR="00405C0E" w:rsidRPr="00A47980">
        <w:rPr>
          <w:rFonts w:ascii="Arial" w:eastAsia="Times New Roman" w:hAnsi="Arial" w:cs="Arial" w:hint="eastAsia"/>
          <w:kern w:val="0"/>
          <w:sz w:val="22"/>
          <w:szCs w:val="22"/>
          <w14:ligatures w14:val="none"/>
        </w:rPr>
        <w:t>2024</w:t>
      </w:r>
      <w:r w:rsidRPr="00A47980">
        <w:rPr>
          <w:rFonts w:ascii="Arial" w:eastAsia="Times New Roman" w:hAnsi="Arial" w:cs="Arial"/>
          <w:kern w:val="0"/>
          <w:sz w:val="22"/>
          <w:szCs w:val="22"/>
          <w14:ligatures w14:val="none"/>
        </w:rPr>
        <w:t xml:space="preserve">). Actual delivery performance also influences post-purchase outcomes: late deliveries are associated with lower review ratings and satisfaction, while improved logistics performance can increase purchase probability and seller sales (Ravula, </w:t>
      </w:r>
      <w:r w:rsidR="00405C0E" w:rsidRPr="00A47980">
        <w:rPr>
          <w:rFonts w:ascii="Arial" w:eastAsia="Times New Roman" w:hAnsi="Arial" w:cs="Arial" w:hint="eastAsia"/>
          <w:kern w:val="0"/>
          <w:sz w:val="22"/>
          <w:szCs w:val="22"/>
          <w14:ligatures w14:val="none"/>
        </w:rPr>
        <w:t>2022</w:t>
      </w:r>
      <w:r w:rsidRPr="00A47980">
        <w:rPr>
          <w:rFonts w:ascii="Arial" w:eastAsia="Times New Roman" w:hAnsi="Arial" w:cs="Arial"/>
          <w:kern w:val="0"/>
          <w:sz w:val="22"/>
          <w:szCs w:val="22"/>
          <w14:ligatures w14:val="none"/>
        </w:rPr>
        <w:t xml:space="preserve">; </w:t>
      </w:r>
      <w:proofErr w:type="spellStart"/>
      <w:r w:rsidRPr="00A47980">
        <w:rPr>
          <w:rFonts w:ascii="Arial" w:eastAsia="Times New Roman" w:hAnsi="Arial" w:cs="Arial"/>
          <w:kern w:val="0"/>
          <w:sz w:val="22"/>
          <w:szCs w:val="22"/>
          <w14:ligatures w14:val="none"/>
        </w:rPr>
        <w:t>Vakulenko</w:t>
      </w:r>
      <w:proofErr w:type="spellEnd"/>
      <w:r w:rsidRPr="00A47980">
        <w:rPr>
          <w:rFonts w:ascii="Arial" w:eastAsia="Times New Roman" w:hAnsi="Arial" w:cs="Arial"/>
          <w:kern w:val="0"/>
          <w:sz w:val="22"/>
          <w:szCs w:val="22"/>
          <w14:ligatures w14:val="none"/>
        </w:rPr>
        <w:t xml:space="preserve"> et al.,</w:t>
      </w:r>
      <w:r w:rsidR="003A02A6">
        <w:rPr>
          <w:rFonts w:ascii="Arial" w:eastAsia="Times New Roman" w:hAnsi="Arial" w:cs="Arial" w:hint="eastAsia"/>
          <w:kern w:val="0"/>
          <w:sz w:val="22"/>
          <w:szCs w:val="22"/>
          <w14:ligatures w14:val="none"/>
        </w:rPr>
        <w:t xml:space="preserve"> </w:t>
      </w:r>
      <w:r w:rsidR="002F4B97" w:rsidRPr="00A47980">
        <w:rPr>
          <w:rFonts w:ascii="Arial" w:eastAsia="Times New Roman" w:hAnsi="Arial" w:cs="Arial" w:hint="eastAsia"/>
          <w:kern w:val="0"/>
          <w:sz w:val="22"/>
          <w:szCs w:val="22"/>
          <w14:ligatures w14:val="none"/>
        </w:rPr>
        <w:t>2019</w:t>
      </w:r>
      <w:r w:rsidRPr="00A47980">
        <w:rPr>
          <w:rFonts w:ascii="Arial" w:eastAsia="Times New Roman" w:hAnsi="Arial" w:cs="Arial"/>
          <w:kern w:val="0"/>
          <w:sz w:val="22"/>
          <w:szCs w:val="22"/>
          <w14:ligatures w14:val="none"/>
        </w:rPr>
        <w:t xml:space="preserve">; Deshpande &amp; </w:t>
      </w:r>
      <w:proofErr w:type="spellStart"/>
      <w:r w:rsidRPr="00A47980">
        <w:rPr>
          <w:rFonts w:ascii="Arial" w:eastAsia="Times New Roman" w:hAnsi="Arial" w:cs="Arial"/>
          <w:kern w:val="0"/>
          <w:sz w:val="22"/>
          <w:szCs w:val="22"/>
          <w14:ligatures w14:val="none"/>
        </w:rPr>
        <w:t>Pendem</w:t>
      </w:r>
      <w:proofErr w:type="spellEnd"/>
      <w:r w:rsidRPr="00A47980">
        <w:rPr>
          <w:rFonts w:ascii="Arial" w:eastAsia="Times New Roman" w:hAnsi="Arial" w:cs="Arial"/>
          <w:kern w:val="0"/>
          <w:sz w:val="22"/>
          <w:szCs w:val="22"/>
          <w14:ligatures w14:val="none"/>
        </w:rPr>
        <w:t>,</w:t>
      </w:r>
      <w:r w:rsidR="003A02A6">
        <w:rPr>
          <w:rFonts w:ascii="Arial" w:eastAsia="Times New Roman" w:hAnsi="Arial" w:cs="Arial" w:hint="eastAsia"/>
          <w:kern w:val="0"/>
          <w:sz w:val="22"/>
          <w:szCs w:val="22"/>
          <w14:ligatures w14:val="none"/>
        </w:rPr>
        <w:t xml:space="preserve"> </w:t>
      </w:r>
      <w:r w:rsidR="00405C0E" w:rsidRPr="00A47980">
        <w:rPr>
          <w:rFonts w:ascii="Arial" w:eastAsia="Times New Roman" w:hAnsi="Arial" w:cs="Arial" w:hint="eastAsia"/>
          <w:kern w:val="0"/>
          <w:sz w:val="22"/>
          <w:szCs w:val="22"/>
          <w14:ligatures w14:val="none"/>
        </w:rPr>
        <w:t>2023</w:t>
      </w:r>
      <w:r w:rsidRPr="00A47980">
        <w:rPr>
          <w:rFonts w:ascii="Arial" w:eastAsia="Times New Roman" w:hAnsi="Arial" w:cs="Arial"/>
          <w:kern w:val="0"/>
          <w:sz w:val="22"/>
          <w:szCs w:val="22"/>
          <w14:ligatures w14:val="none"/>
        </w:rPr>
        <w:t>). These findings highlight a key trade-off for e-commerce platforms between offering attractive delivery promises and maintaining reliable fulfil</w:t>
      </w:r>
      <w:r w:rsidR="003A02A6">
        <w:rPr>
          <w:rFonts w:ascii="Arial" w:eastAsia="Times New Roman" w:hAnsi="Arial" w:cs="Arial" w:hint="eastAsia"/>
          <w:kern w:val="0"/>
          <w:sz w:val="22"/>
          <w:szCs w:val="22"/>
          <w14:ligatures w14:val="none"/>
        </w:rPr>
        <w:t>l</w:t>
      </w:r>
      <w:r w:rsidRPr="00A47980">
        <w:rPr>
          <w:rFonts w:ascii="Arial" w:eastAsia="Times New Roman" w:hAnsi="Arial" w:cs="Arial"/>
          <w:kern w:val="0"/>
          <w:sz w:val="22"/>
          <w:szCs w:val="22"/>
          <w14:ligatures w14:val="none"/>
        </w:rPr>
        <w:t>ment.</w:t>
      </w:r>
    </w:p>
    <w:p w14:paraId="748DB526" w14:textId="77777777" w:rsidR="00A47980" w:rsidRDefault="00E75B21" w:rsidP="00CC4204">
      <w:pPr>
        <w:spacing w:before="240" w:after="0" w:line="360" w:lineRule="auto"/>
        <w:jc w:val="both"/>
        <w:outlineLvl w:val="2"/>
        <w:rPr>
          <w:rFonts w:ascii="Arial" w:eastAsia="Times New Roman" w:hAnsi="Arial" w:cs="Arial"/>
          <w:b/>
          <w:bCs/>
          <w:kern w:val="0"/>
          <w14:ligatures w14:val="none"/>
        </w:rPr>
      </w:pPr>
      <w:r w:rsidRPr="00A47980">
        <w:rPr>
          <w:rFonts w:ascii="Arial" w:eastAsia="Times New Roman" w:hAnsi="Arial" w:cs="Arial"/>
          <w:b/>
          <w:bCs/>
          <w:kern w:val="0"/>
          <w14:ligatures w14:val="none"/>
        </w:rPr>
        <w:t>Modelling Approaches for Delivery Prediction</w:t>
      </w:r>
    </w:p>
    <w:p w14:paraId="35AAA171" w14:textId="68A67EFC" w:rsidR="00E75B21" w:rsidRPr="00A47980" w:rsidRDefault="00E75B21" w:rsidP="00CC4204">
      <w:pPr>
        <w:spacing w:after="0" w:line="360" w:lineRule="auto"/>
        <w:jc w:val="both"/>
        <w:outlineLvl w:val="2"/>
        <w:rPr>
          <w:rFonts w:ascii="Arial" w:eastAsia="Times New Roman" w:hAnsi="Arial" w:cs="Arial"/>
          <w:b/>
          <w:bCs/>
          <w:kern w:val="0"/>
          <w14:ligatures w14:val="none"/>
        </w:rPr>
      </w:pPr>
      <w:r w:rsidRPr="00A47980">
        <w:rPr>
          <w:rFonts w:ascii="Arial" w:eastAsia="Times New Roman" w:hAnsi="Arial" w:cs="Arial"/>
          <w:kern w:val="0"/>
          <w:sz w:val="22"/>
          <w:szCs w:val="22"/>
          <w14:ligatures w14:val="none"/>
        </w:rPr>
        <w:t xml:space="preserve">Delivery performance can be </w:t>
      </w:r>
      <w:r w:rsidR="003D38CA" w:rsidRPr="00A47980">
        <w:rPr>
          <w:rFonts w:ascii="Arial" w:eastAsia="Times New Roman" w:hAnsi="Arial" w:cs="Arial"/>
          <w:kern w:val="0"/>
          <w:sz w:val="22"/>
          <w:szCs w:val="22"/>
          <w14:ligatures w14:val="none"/>
        </w:rPr>
        <w:t>analyzed</w:t>
      </w:r>
      <w:r w:rsidRPr="00A47980">
        <w:rPr>
          <w:rFonts w:ascii="Arial" w:eastAsia="Times New Roman" w:hAnsi="Arial" w:cs="Arial"/>
          <w:kern w:val="0"/>
          <w:sz w:val="22"/>
          <w:szCs w:val="22"/>
          <w14:ligatures w14:val="none"/>
        </w:rPr>
        <w:t xml:space="preserve"> through both regression and classification. Regression models estimate continuous outcomes such as delivery lead time, whereas classification models identify high-risk outcomes such as late or failed delivery. Kandula et al. compared Random Forest, </w:t>
      </w:r>
      <w:proofErr w:type="spellStart"/>
      <w:r w:rsidRPr="00A47980">
        <w:rPr>
          <w:rFonts w:ascii="Arial" w:eastAsia="Times New Roman" w:hAnsi="Arial" w:cs="Arial"/>
          <w:kern w:val="0"/>
          <w:sz w:val="22"/>
          <w:szCs w:val="22"/>
          <w14:ligatures w14:val="none"/>
        </w:rPr>
        <w:t>XGBoost</w:t>
      </w:r>
      <w:proofErr w:type="spellEnd"/>
      <w:r w:rsidRPr="00A47980">
        <w:rPr>
          <w:rFonts w:ascii="Arial" w:eastAsia="Times New Roman" w:hAnsi="Arial" w:cs="Arial"/>
          <w:kern w:val="0"/>
          <w:sz w:val="22"/>
          <w:szCs w:val="22"/>
          <w14:ligatures w14:val="none"/>
        </w:rPr>
        <w:t xml:space="preserve">, </w:t>
      </w:r>
      <w:proofErr w:type="spellStart"/>
      <w:r w:rsidRPr="00A47980">
        <w:rPr>
          <w:rFonts w:ascii="Arial" w:eastAsia="Times New Roman" w:hAnsi="Arial" w:cs="Arial"/>
          <w:kern w:val="0"/>
          <w:sz w:val="22"/>
          <w:szCs w:val="22"/>
          <w14:ligatures w14:val="none"/>
        </w:rPr>
        <w:t>LogitBoost</w:t>
      </w:r>
      <w:proofErr w:type="spellEnd"/>
      <w:r w:rsidRPr="00A47980">
        <w:rPr>
          <w:rFonts w:ascii="Arial" w:eastAsia="Times New Roman" w:hAnsi="Arial" w:cs="Arial"/>
          <w:kern w:val="0"/>
          <w:sz w:val="22"/>
          <w:szCs w:val="22"/>
          <w14:ligatures w14:val="none"/>
        </w:rPr>
        <w:t xml:space="preserve">, artificial neural networks and Decision Trees for delivery-success prediction and showed that predictive outputs could support delivery planning and reduce failed delivery attempts and logistics costs (Kandula et al., </w:t>
      </w:r>
      <w:r w:rsidR="00405C0E" w:rsidRPr="00A47980">
        <w:rPr>
          <w:rFonts w:ascii="Arial" w:eastAsia="Times New Roman" w:hAnsi="Arial" w:cs="Arial" w:hint="eastAsia"/>
          <w:kern w:val="0"/>
          <w:sz w:val="22"/>
          <w:szCs w:val="22"/>
          <w14:ligatures w14:val="none"/>
        </w:rPr>
        <w:t>2021</w:t>
      </w:r>
      <w:r w:rsidRPr="00A47980">
        <w:rPr>
          <w:rFonts w:ascii="Arial" w:eastAsia="Times New Roman" w:hAnsi="Arial" w:cs="Arial"/>
          <w:kern w:val="0"/>
          <w:sz w:val="22"/>
          <w:szCs w:val="22"/>
          <w14:ligatures w14:val="none"/>
        </w:rPr>
        <w:t>).</w:t>
      </w:r>
    </w:p>
    <w:p w14:paraId="6E004A4F" w14:textId="4960C0CA" w:rsidR="00E75B21" w:rsidRPr="00A47980" w:rsidRDefault="00E75B21" w:rsidP="00CC4204">
      <w:pPr>
        <w:spacing w:before="240"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 xml:space="preserve">For structured transactional datasets such as </w:t>
      </w:r>
      <w:proofErr w:type="spellStart"/>
      <w:r w:rsidRPr="00A47980">
        <w:rPr>
          <w:rFonts w:ascii="Arial" w:eastAsia="Times New Roman" w:hAnsi="Arial" w:cs="Arial"/>
          <w:kern w:val="0"/>
          <w:sz w:val="22"/>
          <w:szCs w:val="22"/>
          <w14:ligatures w14:val="none"/>
        </w:rPr>
        <w:t>Olist</w:t>
      </w:r>
      <w:proofErr w:type="spellEnd"/>
      <w:r w:rsidRPr="00A47980">
        <w:rPr>
          <w:rFonts w:ascii="Arial" w:eastAsia="Times New Roman" w:hAnsi="Arial" w:cs="Arial"/>
          <w:kern w:val="0"/>
          <w:sz w:val="22"/>
          <w:szCs w:val="22"/>
          <w14:ligatures w14:val="none"/>
        </w:rPr>
        <w:t>, tree-based models are particularly relevant because they can capture nonlinear relationships and feature interactions and generally perform strongly on medium-sized tabular data (</w:t>
      </w:r>
      <w:proofErr w:type="spellStart"/>
      <w:r w:rsidRPr="00A47980">
        <w:rPr>
          <w:rFonts w:ascii="Arial" w:eastAsia="Times New Roman" w:hAnsi="Arial" w:cs="Arial"/>
          <w:kern w:val="0"/>
          <w:sz w:val="22"/>
          <w:szCs w:val="22"/>
          <w14:ligatures w14:val="none"/>
        </w:rPr>
        <w:t>Grinsztajn</w:t>
      </w:r>
      <w:proofErr w:type="spellEnd"/>
      <w:r w:rsidRPr="00A47980">
        <w:rPr>
          <w:rFonts w:ascii="Arial" w:eastAsia="Times New Roman" w:hAnsi="Arial" w:cs="Arial"/>
          <w:kern w:val="0"/>
          <w:sz w:val="22"/>
          <w:szCs w:val="22"/>
          <w14:ligatures w14:val="none"/>
        </w:rPr>
        <w:t xml:space="preserve"> et al., </w:t>
      </w:r>
      <w:r w:rsidR="00405C0E" w:rsidRPr="00A47980">
        <w:rPr>
          <w:rFonts w:ascii="Arial" w:eastAsia="Times New Roman" w:hAnsi="Arial" w:cs="Arial" w:hint="eastAsia"/>
          <w:kern w:val="0"/>
          <w:sz w:val="22"/>
          <w:szCs w:val="22"/>
          <w14:ligatures w14:val="none"/>
        </w:rPr>
        <w:t>2022</w:t>
      </w:r>
      <w:r w:rsidRPr="00A47980">
        <w:rPr>
          <w:rFonts w:ascii="Arial" w:eastAsia="Times New Roman" w:hAnsi="Arial" w:cs="Arial"/>
          <w:kern w:val="0"/>
          <w:sz w:val="22"/>
          <w:szCs w:val="22"/>
          <w14:ligatures w14:val="none"/>
        </w:rPr>
        <w:t xml:space="preserve">). Logistic regression can serve as an interpretable baseline, while Random Forest and </w:t>
      </w:r>
      <w:proofErr w:type="spellStart"/>
      <w:r w:rsidRPr="00A47980">
        <w:rPr>
          <w:rFonts w:ascii="Arial" w:eastAsia="Times New Roman" w:hAnsi="Arial" w:cs="Arial"/>
          <w:kern w:val="0"/>
          <w:sz w:val="22"/>
          <w:szCs w:val="22"/>
          <w14:ligatures w14:val="none"/>
        </w:rPr>
        <w:t>XGBoost</w:t>
      </w:r>
      <w:proofErr w:type="spellEnd"/>
      <w:r w:rsidRPr="00A47980">
        <w:rPr>
          <w:rFonts w:ascii="Arial" w:eastAsia="Times New Roman" w:hAnsi="Arial" w:cs="Arial"/>
          <w:kern w:val="0"/>
          <w:sz w:val="22"/>
          <w:szCs w:val="22"/>
          <w14:ligatures w14:val="none"/>
        </w:rPr>
        <w:t xml:space="preserve"> provide more flexible alternatives for both delivery-time regression and late-delivery classification.</w:t>
      </w:r>
    </w:p>
    <w:p w14:paraId="1C2FA5DF" w14:textId="77777777" w:rsidR="00E75B21" w:rsidRPr="00A47980" w:rsidRDefault="00E75B21" w:rsidP="00CC4204">
      <w:pPr>
        <w:spacing w:before="240" w:after="0" w:line="360" w:lineRule="auto"/>
        <w:jc w:val="both"/>
        <w:outlineLvl w:val="2"/>
        <w:rPr>
          <w:rFonts w:ascii="Arial" w:eastAsia="Times New Roman" w:hAnsi="Arial" w:cs="Arial"/>
          <w:b/>
          <w:bCs/>
          <w:kern w:val="0"/>
          <w14:ligatures w14:val="none"/>
        </w:rPr>
      </w:pPr>
      <w:r w:rsidRPr="00A47980">
        <w:rPr>
          <w:rFonts w:ascii="Arial" w:eastAsia="Times New Roman" w:hAnsi="Arial" w:cs="Arial"/>
          <w:b/>
          <w:bCs/>
          <w:kern w:val="0"/>
          <w14:ligatures w14:val="none"/>
        </w:rPr>
        <w:t>Methodological Considerations</w:t>
      </w:r>
    </w:p>
    <w:p w14:paraId="6AFB2883" w14:textId="21E7D312" w:rsidR="00E75B21" w:rsidRPr="00A47980" w:rsidRDefault="00E75B21" w:rsidP="00CC4204">
      <w:pPr>
        <w:spacing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 xml:space="preserve">Class imbalance is an important consideration when predicting late delivery because late orders may represent a smaller proportion of observations. Although techniques such as oversampling, </w:t>
      </w:r>
      <w:proofErr w:type="spellStart"/>
      <w:r w:rsidRPr="00A47980">
        <w:rPr>
          <w:rFonts w:ascii="Arial" w:eastAsia="Times New Roman" w:hAnsi="Arial" w:cs="Arial"/>
          <w:kern w:val="0"/>
          <w:sz w:val="22"/>
          <w:szCs w:val="22"/>
          <w14:ligatures w14:val="none"/>
        </w:rPr>
        <w:t>undersampling</w:t>
      </w:r>
      <w:proofErr w:type="spellEnd"/>
      <w:r w:rsidRPr="00A47980">
        <w:rPr>
          <w:rFonts w:ascii="Arial" w:eastAsia="Times New Roman" w:hAnsi="Arial" w:cs="Arial"/>
          <w:kern w:val="0"/>
          <w:sz w:val="22"/>
          <w:szCs w:val="22"/>
          <w14:ligatures w14:val="none"/>
        </w:rPr>
        <w:t xml:space="preserve"> and SMOTE are commonly used, they should not be applied automatically. Van den </w:t>
      </w:r>
      <w:proofErr w:type="spellStart"/>
      <w:r w:rsidRPr="00A47980">
        <w:rPr>
          <w:rFonts w:ascii="Arial" w:eastAsia="Times New Roman" w:hAnsi="Arial" w:cs="Arial"/>
          <w:kern w:val="0"/>
          <w:sz w:val="22"/>
          <w:szCs w:val="22"/>
          <w14:ligatures w14:val="none"/>
        </w:rPr>
        <w:t>Goorbergh</w:t>
      </w:r>
      <w:proofErr w:type="spellEnd"/>
      <w:r w:rsidRPr="00A47980">
        <w:rPr>
          <w:rFonts w:ascii="Arial" w:eastAsia="Times New Roman" w:hAnsi="Arial" w:cs="Arial"/>
          <w:kern w:val="0"/>
          <w:sz w:val="22"/>
          <w:szCs w:val="22"/>
          <w14:ligatures w14:val="none"/>
        </w:rPr>
        <w:t xml:space="preserve"> et al. found that imbalance corrections did not necessarily improve discrimination and could result in poorly calibrated predicted probabilities (van den </w:t>
      </w:r>
      <w:proofErr w:type="spellStart"/>
      <w:r w:rsidRPr="00A47980">
        <w:rPr>
          <w:rFonts w:ascii="Arial" w:eastAsia="Times New Roman" w:hAnsi="Arial" w:cs="Arial"/>
          <w:kern w:val="0"/>
          <w:sz w:val="22"/>
          <w:szCs w:val="22"/>
          <w14:ligatures w14:val="none"/>
        </w:rPr>
        <w:t>Goorbergh</w:t>
      </w:r>
      <w:proofErr w:type="spellEnd"/>
      <w:r w:rsidRPr="00A47980">
        <w:rPr>
          <w:rFonts w:ascii="Arial" w:eastAsia="Times New Roman" w:hAnsi="Arial" w:cs="Arial"/>
          <w:kern w:val="0"/>
          <w:sz w:val="22"/>
          <w:szCs w:val="22"/>
          <w14:ligatures w14:val="none"/>
        </w:rPr>
        <w:t xml:space="preserve"> et al., </w:t>
      </w:r>
      <w:r w:rsidR="00405C0E" w:rsidRPr="00A47980">
        <w:rPr>
          <w:rFonts w:ascii="Arial" w:eastAsia="Times New Roman" w:hAnsi="Arial" w:cs="Arial" w:hint="eastAsia"/>
          <w:kern w:val="0"/>
          <w:sz w:val="22"/>
          <w:szCs w:val="22"/>
          <w14:ligatures w14:val="none"/>
        </w:rPr>
        <w:t>2022</w:t>
      </w:r>
      <w:r w:rsidRPr="00A47980">
        <w:rPr>
          <w:rFonts w:ascii="Arial" w:eastAsia="Times New Roman" w:hAnsi="Arial" w:cs="Arial"/>
          <w:kern w:val="0"/>
          <w:sz w:val="22"/>
          <w:szCs w:val="22"/>
          <w14:ligatures w14:val="none"/>
        </w:rPr>
        <w:t>). In some cases, classification-threshold adjustment may provide similar improvements in sensitivity without altering the training distribution.</w:t>
      </w:r>
    </w:p>
    <w:p w14:paraId="404E14E3" w14:textId="75192994" w:rsidR="00E75B21" w:rsidRPr="00A47980" w:rsidRDefault="00E75B21" w:rsidP="00CC4204">
      <w:pPr>
        <w:spacing w:before="240"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lastRenderedPageBreak/>
        <w:t xml:space="preserve">Data leakage is another major concern in delivery prediction. Leakage can produce overly optimistic and poorly reproducible model performance when information unavailable at prediction time is included in model development (Kapoor &amp; Narayanan, </w:t>
      </w:r>
      <w:r w:rsidR="00405C0E" w:rsidRPr="00A47980">
        <w:rPr>
          <w:rFonts w:ascii="Arial" w:eastAsia="Times New Roman" w:hAnsi="Arial" w:cs="Arial" w:hint="eastAsia"/>
          <w:kern w:val="0"/>
          <w:sz w:val="22"/>
          <w:szCs w:val="22"/>
          <w14:ligatures w14:val="none"/>
        </w:rPr>
        <w:t>2023</w:t>
      </w:r>
      <w:r w:rsidRPr="00A47980">
        <w:rPr>
          <w:rFonts w:ascii="Arial" w:eastAsia="Times New Roman" w:hAnsi="Arial" w:cs="Arial"/>
          <w:kern w:val="0"/>
          <w:sz w:val="22"/>
          <w:szCs w:val="22"/>
          <w14:ligatures w14:val="none"/>
        </w:rPr>
        <w:t xml:space="preserve">). For late-delivery prediction, variables that only become available after delivery completion should therefore be excluded from predictors. For example, the actual delivery date may be used to construct the late-delivery </w:t>
      </w:r>
      <w:r w:rsidR="009C45E2" w:rsidRPr="00A47980">
        <w:rPr>
          <w:rFonts w:ascii="Arial" w:eastAsia="Times New Roman" w:hAnsi="Arial" w:cs="Arial"/>
          <w:kern w:val="0"/>
          <w:sz w:val="22"/>
          <w:szCs w:val="22"/>
          <w14:ligatures w14:val="none"/>
        </w:rPr>
        <w:t>target but</w:t>
      </w:r>
      <w:r w:rsidRPr="00A47980">
        <w:rPr>
          <w:rFonts w:ascii="Arial" w:eastAsia="Times New Roman" w:hAnsi="Arial" w:cs="Arial"/>
          <w:kern w:val="0"/>
          <w:sz w:val="22"/>
          <w:szCs w:val="22"/>
          <w14:ligatures w14:val="none"/>
        </w:rPr>
        <w:t xml:space="preserve"> should not be used as an input feature. Preprocessing, feature selection and any resampling procedures should also be conducted using training data only (Kapoor &amp; Narayanan, </w:t>
      </w:r>
      <w:r w:rsidR="00405C0E" w:rsidRPr="00A47980">
        <w:rPr>
          <w:rFonts w:ascii="Arial" w:eastAsia="Times New Roman" w:hAnsi="Arial" w:cs="Arial" w:hint="eastAsia"/>
          <w:kern w:val="0"/>
          <w:sz w:val="22"/>
          <w:szCs w:val="22"/>
          <w14:ligatures w14:val="none"/>
        </w:rPr>
        <w:t>2023</w:t>
      </w:r>
      <w:r w:rsidRPr="00A47980">
        <w:rPr>
          <w:rFonts w:ascii="Arial" w:eastAsia="Times New Roman" w:hAnsi="Arial" w:cs="Arial"/>
          <w:kern w:val="0"/>
          <w:sz w:val="22"/>
          <w:szCs w:val="22"/>
          <w14:ligatures w14:val="none"/>
        </w:rPr>
        <w:t>).</w:t>
      </w:r>
    </w:p>
    <w:p w14:paraId="0E842681" w14:textId="77777777" w:rsidR="00E75B21" w:rsidRPr="00A47980" w:rsidRDefault="00E75B21" w:rsidP="00CC4204">
      <w:pPr>
        <w:spacing w:before="240" w:after="0" w:line="360" w:lineRule="auto"/>
        <w:jc w:val="both"/>
        <w:outlineLvl w:val="2"/>
        <w:rPr>
          <w:rFonts w:ascii="Arial" w:eastAsia="Times New Roman" w:hAnsi="Arial" w:cs="Arial"/>
          <w:b/>
          <w:bCs/>
          <w:kern w:val="0"/>
          <w14:ligatures w14:val="none"/>
        </w:rPr>
      </w:pPr>
      <w:r w:rsidRPr="00A47980">
        <w:rPr>
          <w:rFonts w:ascii="Arial" w:eastAsia="Times New Roman" w:hAnsi="Arial" w:cs="Arial"/>
          <w:b/>
          <w:bCs/>
          <w:kern w:val="0"/>
          <w14:ligatures w14:val="none"/>
        </w:rPr>
        <w:t>Feature Engineering and Evaluation</w:t>
      </w:r>
    </w:p>
    <w:p w14:paraId="7EC5D4C3" w14:textId="41F859F9" w:rsidR="00E75B21" w:rsidRPr="00A47980" w:rsidRDefault="00E75B21" w:rsidP="00CC4204">
      <w:pPr>
        <w:spacing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 xml:space="preserve">Useful predictors of delivery performance may include temporal, transactional, product, freight and geographic variables. Kandula et al. showed that both order-level and location-level information can contribute to delivery prediction (Kandula et al., </w:t>
      </w:r>
      <w:r w:rsidR="00405C0E" w:rsidRPr="00A47980">
        <w:rPr>
          <w:rFonts w:ascii="Arial" w:eastAsia="Times New Roman" w:hAnsi="Arial" w:cs="Arial" w:hint="eastAsia"/>
          <w:kern w:val="0"/>
          <w:sz w:val="22"/>
          <w:szCs w:val="22"/>
          <w14:ligatures w14:val="none"/>
        </w:rPr>
        <w:t>2021</w:t>
      </w:r>
      <w:r w:rsidRPr="00A47980">
        <w:rPr>
          <w:rFonts w:ascii="Arial" w:eastAsia="Times New Roman" w:hAnsi="Arial" w:cs="Arial"/>
          <w:kern w:val="0"/>
          <w:sz w:val="22"/>
          <w:szCs w:val="22"/>
          <w14:ligatures w14:val="none"/>
        </w:rPr>
        <w:t xml:space="preserve">). For </w:t>
      </w:r>
      <w:proofErr w:type="spellStart"/>
      <w:r w:rsidRPr="00A47980">
        <w:rPr>
          <w:rFonts w:ascii="Arial" w:eastAsia="Times New Roman" w:hAnsi="Arial" w:cs="Arial"/>
          <w:kern w:val="0"/>
          <w:sz w:val="22"/>
          <w:szCs w:val="22"/>
          <w14:ligatures w14:val="none"/>
        </w:rPr>
        <w:t>Olist</w:t>
      </w:r>
      <w:proofErr w:type="spellEnd"/>
      <w:r w:rsidRPr="00A47980">
        <w:rPr>
          <w:rFonts w:ascii="Arial" w:eastAsia="Times New Roman" w:hAnsi="Arial" w:cs="Arial"/>
          <w:kern w:val="0"/>
          <w:sz w:val="22"/>
          <w:szCs w:val="22"/>
          <w14:ligatures w14:val="none"/>
        </w:rPr>
        <w:t>, candidate features therefore include purchase timing, product characteristics, freight-related measures, seller and customer locations, and geographic separation.</w:t>
      </w:r>
    </w:p>
    <w:p w14:paraId="06803BFF" w14:textId="6CFB96FF" w:rsidR="00E75B21" w:rsidRPr="00A47980" w:rsidRDefault="00E75B21" w:rsidP="00CC4204">
      <w:pPr>
        <w:spacing w:before="240"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 xml:space="preserve">Evaluation should reflect the prediction task. For imbalanced late-delivery classification, accuracy alone may be misleading, so precision, recall, F1-score and AUROC are more informative (Kandula et al., </w:t>
      </w:r>
      <w:r w:rsidR="00405C0E" w:rsidRPr="00A47980">
        <w:rPr>
          <w:rFonts w:ascii="Arial" w:eastAsia="Times New Roman" w:hAnsi="Arial" w:cs="Arial" w:hint="eastAsia"/>
          <w:kern w:val="0"/>
          <w:sz w:val="22"/>
          <w:szCs w:val="22"/>
          <w14:ligatures w14:val="none"/>
        </w:rPr>
        <w:t>2021</w:t>
      </w:r>
      <w:r w:rsidRPr="00A47980">
        <w:rPr>
          <w:rFonts w:ascii="Arial" w:eastAsia="Times New Roman" w:hAnsi="Arial" w:cs="Arial"/>
          <w:kern w:val="0"/>
          <w:sz w:val="22"/>
          <w:szCs w:val="22"/>
          <w14:ligatures w14:val="none"/>
        </w:rPr>
        <w:t xml:space="preserve">). Calibration may also be relevant when predicted probabilities are intended to represent delivery risk (van den </w:t>
      </w:r>
      <w:proofErr w:type="spellStart"/>
      <w:r w:rsidRPr="00A47980">
        <w:rPr>
          <w:rFonts w:ascii="Arial" w:eastAsia="Times New Roman" w:hAnsi="Arial" w:cs="Arial"/>
          <w:kern w:val="0"/>
          <w:sz w:val="22"/>
          <w:szCs w:val="22"/>
          <w14:ligatures w14:val="none"/>
        </w:rPr>
        <w:t>Goorbergh</w:t>
      </w:r>
      <w:proofErr w:type="spellEnd"/>
      <w:r w:rsidRPr="00A47980">
        <w:rPr>
          <w:rFonts w:ascii="Arial" w:eastAsia="Times New Roman" w:hAnsi="Arial" w:cs="Arial"/>
          <w:kern w:val="0"/>
          <w:sz w:val="22"/>
          <w:szCs w:val="22"/>
          <w14:ligatures w14:val="none"/>
        </w:rPr>
        <w:t xml:space="preserve"> et al., </w:t>
      </w:r>
      <w:r w:rsidR="00405C0E" w:rsidRPr="00A47980">
        <w:rPr>
          <w:rFonts w:ascii="Arial" w:eastAsia="Times New Roman" w:hAnsi="Arial" w:cs="Arial" w:hint="eastAsia"/>
          <w:kern w:val="0"/>
          <w:sz w:val="22"/>
          <w:szCs w:val="22"/>
          <w14:ligatures w14:val="none"/>
        </w:rPr>
        <w:t>2022</w:t>
      </w:r>
      <w:r w:rsidRPr="00A47980">
        <w:rPr>
          <w:rFonts w:ascii="Arial" w:eastAsia="Times New Roman" w:hAnsi="Arial" w:cs="Arial"/>
          <w:kern w:val="0"/>
          <w:sz w:val="22"/>
          <w:szCs w:val="22"/>
          <w14:ligatures w14:val="none"/>
        </w:rPr>
        <w:t>). For delivery-time regression, MAE, RMSE and R² can be used to assess prediction error and explained variation.</w:t>
      </w:r>
    </w:p>
    <w:p w14:paraId="008A628F" w14:textId="77777777" w:rsidR="00E75B21" w:rsidRPr="00A47980" w:rsidRDefault="00E75B21" w:rsidP="00CC4204">
      <w:pPr>
        <w:spacing w:before="240" w:after="0" w:line="360" w:lineRule="auto"/>
        <w:jc w:val="both"/>
        <w:outlineLvl w:val="2"/>
        <w:rPr>
          <w:rFonts w:ascii="Arial" w:eastAsia="Times New Roman" w:hAnsi="Arial" w:cs="Arial"/>
          <w:b/>
          <w:bCs/>
          <w:kern w:val="0"/>
          <w14:ligatures w14:val="none"/>
        </w:rPr>
      </w:pPr>
      <w:r w:rsidRPr="00A47980">
        <w:rPr>
          <w:rFonts w:ascii="Arial" w:eastAsia="Times New Roman" w:hAnsi="Arial" w:cs="Arial"/>
          <w:b/>
          <w:bCs/>
          <w:kern w:val="0"/>
          <w14:ligatures w14:val="none"/>
        </w:rPr>
        <w:t xml:space="preserve">Research Gap and Relevance to </w:t>
      </w:r>
      <w:proofErr w:type="spellStart"/>
      <w:r w:rsidRPr="00A47980">
        <w:rPr>
          <w:rFonts w:ascii="Arial" w:eastAsia="Times New Roman" w:hAnsi="Arial" w:cs="Arial"/>
          <w:b/>
          <w:bCs/>
          <w:kern w:val="0"/>
          <w14:ligatures w14:val="none"/>
        </w:rPr>
        <w:t>Olist</w:t>
      </w:r>
      <w:proofErr w:type="spellEnd"/>
    </w:p>
    <w:p w14:paraId="57F3AEE9" w14:textId="74F95DE0" w:rsidR="00E75B21" w:rsidRPr="00A47980" w:rsidRDefault="00E75B21" w:rsidP="00CC4204">
      <w:pPr>
        <w:spacing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Existing research links delivery promises and actual delivery performance to customer satisfaction, retention and commercial outcomes (Cui et al.,</w:t>
      </w:r>
      <w:r w:rsidR="003A02A6">
        <w:rPr>
          <w:rFonts w:ascii="Arial" w:eastAsia="Times New Roman" w:hAnsi="Arial" w:cs="Arial" w:hint="eastAsia"/>
          <w:kern w:val="0"/>
          <w:sz w:val="22"/>
          <w:szCs w:val="22"/>
          <w14:ligatures w14:val="none"/>
        </w:rPr>
        <w:t xml:space="preserve"> </w:t>
      </w:r>
      <w:r w:rsidR="00405C0E" w:rsidRPr="00A47980">
        <w:rPr>
          <w:rFonts w:ascii="Arial" w:eastAsia="Times New Roman" w:hAnsi="Arial" w:cs="Arial" w:hint="eastAsia"/>
          <w:kern w:val="0"/>
          <w:sz w:val="22"/>
          <w:szCs w:val="22"/>
          <w14:ligatures w14:val="none"/>
        </w:rPr>
        <w:t>2024</w:t>
      </w:r>
      <w:r w:rsidRPr="00A47980">
        <w:rPr>
          <w:rFonts w:ascii="Arial" w:eastAsia="Times New Roman" w:hAnsi="Arial" w:cs="Arial"/>
          <w:kern w:val="0"/>
          <w:sz w:val="22"/>
          <w:szCs w:val="22"/>
          <w14:ligatures w14:val="none"/>
        </w:rPr>
        <w:t xml:space="preserve">; Ravula, </w:t>
      </w:r>
      <w:r w:rsidR="002F4B97" w:rsidRPr="00A47980">
        <w:rPr>
          <w:rFonts w:ascii="Arial" w:eastAsia="Times New Roman" w:hAnsi="Arial" w:cs="Arial" w:hint="eastAsia"/>
          <w:kern w:val="0"/>
          <w:sz w:val="22"/>
          <w:szCs w:val="22"/>
          <w14:ligatures w14:val="none"/>
        </w:rPr>
        <w:t>2022</w:t>
      </w:r>
      <w:r w:rsidRPr="00A47980">
        <w:rPr>
          <w:rFonts w:ascii="Arial" w:eastAsia="Times New Roman" w:hAnsi="Arial" w:cs="Arial"/>
          <w:kern w:val="0"/>
          <w:sz w:val="22"/>
          <w:szCs w:val="22"/>
          <w14:ligatures w14:val="none"/>
        </w:rPr>
        <w:t>). This creates an early risk identification problem for e-commerce platforms and sellers: can orders at high risk of late delivery be identified before delivery completion using information already available during the order or fulfil</w:t>
      </w:r>
      <w:r w:rsidR="003A02A6">
        <w:rPr>
          <w:rFonts w:ascii="Arial" w:eastAsia="Times New Roman" w:hAnsi="Arial" w:cs="Arial"/>
          <w:kern w:val="0"/>
          <w:sz w:val="22"/>
          <w:szCs w:val="22"/>
          <w14:ligatures w14:val="none"/>
        </w:rPr>
        <w:t>l</w:t>
      </w:r>
      <w:r w:rsidRPr="00A47980">
        <w:rPr>
          <w:rFonts w:ascii="Arial" w:eastAsia="Times New Roman" w:hAnsi="Arial" w:cs="Arial"/>
          <w:kern w:val="0"/>
          <w:sz w:val="22"/>
          <w:szCs w:val="22"/>
          <w14:ligatures w14:val="none"/>
        </w:rPr>
        <w:t>ment process?</w:t>
      </w:r>
    </w:p>
    <w:p w14:paraId="3A8A0BDE" w14:textId="1D934C7E" w:rsidR="00E75B21" w:rsidRPr="00A47980" w:rsidRDefault="00E75B21" w:rsidP="00CC4204">
      <w:pPr>
        <w:spacing w:before="240"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 xml:space="preserve">The </w:t>
      </w:r>
      <w:proofErr w:type="spellStart"/>
      <w:r w:rsidRPr="00A47980">
        <w:rPr>
          <w:rFonts w:ascii="Arial" w:eastAsia="Times New Roman" w:hAnsi="Arial" w:cs="Arial"/>
          <w:kern w:val="0"/>
          <w:sz w:val="22"/>
          <w:szCs w:val="22"/>
          <w14:ligatures w14:val="none"/>
        </w:rPr>
        <w:t>Olist</w:t>
      </w:r>
      <w:proofErr w:type="spellEnd"/>
      <w:r w:rsidRPr="00A47980">
        <w:rPr>
          <w:rFonts w:ascii="Arial" w:eastAsia="Times New Roman" w:hAnsi="Arial" w:cs="Arial"/>
          <w:kern w:val="0"/>
          <w:sz w:val="22"/>
          <w:szCs w:val="22"/>
          <w14:ligatures w14:val="none"/>
        </w:rPr>
        <w:t xml:space="preserve"> dataset provides an opportunity to examine this question using temporal, freight, product, transactional and geographic features. High-risk orders could be </w:t>
      </w:r>
      <w:r w:rsidR="00A47980" w:rsidRPr="00A47980">
        <w:rPr>
          <w:rFonts w:ascii="Arial" w:eastAsia="Times New Roman" w:hAnsi="Arial" w:cs="Arial"/>
          <w:kern w:val="0"/>
          <w:sz w:val="22"/>
          <w:szCs w:val="22"/>
          <w14:ligatures w14:val="none"/>
        </w:rPr>
        <w:t>prioritized</w:t>
      </w:r>
      <w:r w:rsidRPr="00A47980">
        <w:rPr>
          <w:rFonts w:ascii="Arial" w:eastAsia="Times New Roman" w:hAnsi="Arial" w:cs="Arial"/>
          <w:kern w:val="0"/>
          <w:sz w:val="22"/>
          <w:szCs w:val="22"/>
          <w14:ligatures w14:val="none"/>
        </w:rPr>
        <w:t xml:space="preserve"> for closer monitoring or fulfil</w:t>
      </w:r>
      <w:r w:rsidR="003A02A6">
        <w:rPr>
          <w:rFonts w:ascii="Arial" w:eastAsia="Times New Roman" w:hAnsi="Arial" w:cs="Arial"/>
          <w:kern w:val="0"/>
          <w:sz w:val="22"/>
          <w:szCs w:val="22"/>
          <w14:ligatures w14:val="none"/>
        </w:rPr>
        <w:t>l</w:t>
      </w:r>
      <w:r w:rsidRPr="00A47980">
        <w:rPr>
          <w:rFonts w:ascii="Arial" w:eastAsia="Times New Roman" w:hAnsi="Arial" w:cs="Arial"/>
          <w:kern w:val="0"/>
          <w:sz w:val="22"/>
          <w:szCs w:val="22"/>
          <w14:ligatures w14:val="none"/>
        </w:rPr>
        <w:t>ment follow-up, supporting more proactive action before a delivery promise is missed. Delivery-time regression can complement classification by estimating expected delivery duration, providing additional support for delivery planning and customer expectation management.</w:t>
      </w:r>
    </w:p>
    <w:p w14:paraId="69525D7C" w14:textId="77777777" w:rsidR="00A47980" w:rsidRPr="00A47980" w:rsidRDefault="00A47980" w:rsidP="00CC4204">
      <w:pPr>
        <w:spacing w:before="240" w:after="0" w:line="360" w:lineRule="auto"/>
        <w:jc w:val="both"/>
        <w:rPr>
          <w:rFonts w:ascii="Arial" w:eastAsia="Times New Roman" w:hAnsi="Arial" w:cs="Arial"/>
          <w:kern w:val="0"/>
          <w:sz w:val="22"/>
          <w:szCs w:val="22"/>
          <w14:ligatures w14:val="none"/>
        </w:rPr>
      </w:pPr>
    </w:p>
    <w:p w14:paraId="323AE60A" w14:textId="77777777" w:rsidR="00CC4204" w:rsidRDefault="00CC4204" w:rsidP="00CC4204">
      <w:pPr>
        <w:spacing w:after="0" w:line="360" w:lineRule="auto"/>
        <w:jc w:val="both"/>
        <w:outlineLvl w:val="1"/>
        <w:rPr>
          <w:rFonts w:ascii="Arial" w:eastAsia="Times New Roman" w:hAnsi="Arial" w:cs="Arial"/>
          <w:b/>
          <w:bCs/>
          <w:kern w:val="0"/>
          <w14:ligatures w14:val="none"/>
        </w:rPr>
        <w:sectPr w:rsidR="00CC4204" w:rsidSect="00CC4204">
          <w:pgSz w:w="11900" w:h="16840"/>
          <w:pgMar w:top="1440" w:right="1440" w:bottom="1440" w:left="1440" w:header="720" w:footer="720" w:gutter="0"/>
          <w:cols w:space="720"/>
          <w:docGrid w:linePitch="360"/>
        </w:sectPr>
      </w:pPr>
    </w:p>
    <w:p w14:paraId="16082519" w14:textId="77777777" w:rsidR="00CC4204" w:rsidRDefault="00CC4204" w:rsidP="00CC4204">
      <w:pPr>
        <w:spacing w:after="0" w:line="360" w:lineRule="auto"/>
        <w:jc w:val="both"/>
        <w:outlineLvl w:val="1"/>
        <w:rPr>
          <w:rFonts w:ascii="Arial" w:eastAsia="Times New Roman" w:hAnsi="Arial" w:cs="Arial"/>
          <w:b/>
          <w:bCs/>
          <w:kern w:val="0"/>
          <w14:ligatures w14:val="none"/>
        </w:rPr>
      </w:pPr>
    </w:p>
    <w:p w14:paraId="4DCE9ED3" w14:textId="77777777" w:rsidR="00CC4204" w:rsidRDefault="00CC4204" w:rsidP="00CC4204">
      <w:pPr>
        <w:spacing w:after="0" w:line="360" w:lineRule="auto"/>
        <w:jc w:val="both"/>
        <w:outlineLvl w:val="1"/>
        <w:rPr>
          <w:rFonts w:ascii="Arial" w:eastAsia="Times New Roman" w:hAnsi="Arial" w:cs="Arial"/>
          <w:b/>
          <w:bCs/>
          <w:kern w:val="0"/>
          <w14:ligatures w14:val="none"/>
        </w:rPr>
      </w:pPr>
    </w:p>
    <w:p w14:paraId="381CEB63" w14:textId="5183F158" w:rsidR="00A47980" w:rsidRPr="00A47980" w:rsidRDefault="00A47980" w:rsidP="00CC4204">
      <w:pPr>
        <w:spacing w:after="0" w:line="360" w:lineRule="auto"/>
        <w:jc w:val="both"/>
        <w:outlineLvl w:val="1"/>
        <w:rPr>
          <w:rFonts w:ascii="Arial" w:eastAsia="Times New Roman" w:hAnsi="Arial" w:cs="Arial"/>
          <w:b/>
          <w:bCs/>
          <w:kern w:val="0"/>
          <w14:ligatures w14:val="none"/>
        </w:rPr>
      </w:pPr>
      <w:r w:rsidRPr="00A47980">
        <w:rPr>
          <w:rFonts w:ascii="Arial" w:eastAsia="Times New Roman" w:hAnsi="Arial" w:cs="Arial"/>
          <w:b/>
          <w:bCs/>
          <w:kern w:val="0"/>
          <w14:ligatures w14:val="none"/>
        </w:rPr>
        <w:t>References</w:t>
      </w:r>
    </w:p>
    <w:p w14:paraId="563C0D0E" w14:textId="77777777" w:rsidR="00A47980" w:rsidRPr="00A47980" w:rsidRDefault="00A47980" w:rsidP="00CC4204">
      <w:pPr>
        <w:spacing w:after="0" w:line="360" w:lineRule="auto"/>
        <w:jc w:val="both"/>
        <w:outlineLvl w:val="1"/>
        <w:rPr>
          <w:rFonts w:ascii="Arial" w:eastAsia="Times New Roman" w:hAnsi="Arial" w:cs="Arial"/>
          <w:b/>
          <w:bCs/>
          <w:kern w:val="0"/>
          <w:sz w:val="22"/>
          <w:szCs w:val="22"/>
          <w14:ligatures w14:val="none"/>
        </w:rPr>
      </w:pPr>
    </w:p>
    <w:p w14:paraId="7FFB1213" w14:textId="0AAFE709" w:rsidR="00A47980" w:rsidRPr="00A47980" w:rsidRDefault="00A47980" w:rsidP="00CC4204">
      <w:pPr>
        <w:numPr>
          <w:ilvl w:val="0"/>
          <w:numId w:val="1"/>
        </w:numPr>
        <w:spacing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Cui, R., Lu, Z., Sun, T., &amp; Golden, J. M. (2024). Sooner or later? Promising delivery speed in online retail. Manufacturing &amp; Service Operations Management, 26(1), 233–251.</w:t>
      </w:r>
    </w:p>
    <w:p w14:paraId="5DF14D00" w14:textId="193F0AB4" w:rsidR="00A47980" w:rsidRPr="00A47980" w:rsidRDefault="00A47980" w:rsidP="00CC4204">
      <w:pPr>
        <w:numPr>
          <w:ilvl w:val="0"/>
          <w:numId w:val="1"/>
        </w:numPr>
        <w:spacing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Ravula, P. (2022). Impact of delivery performance on online review ratings: The role of temporal distance of ratings. Journal of Marketing Analytics, 11(2), 149–159.</w:t>
      </w:r>
    </w:p>
    <w:p w14:paraId="0D23DAA3" w14:textId="228A6B57" w:rsidR="00A47980" w:rsidRDefault="00A47980" w:rsidP="00CC4204">
      <w:pPr>
        <w:numPr>
          <w:ilvl w:val="0"/>
          <w:numId w:val="1"/>
        </w:numPr>
        <w:spacing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Vakulenko, Y., Shams, P., Hellström, D., &amp; Hjort, K. (2019). Online retail experience and customer satisfaction: The mediating role of last mile delivery. The International Review of Retail, Distribution and Consumer Research, 29(3), 306–320.</w:t>
      </w:r>
    </w:p>
    <w:p w14:paraId="46A0FBA4" w14:textId="0CBD9608" w:rsidR="00CC4204" w:rsidRPr="00CC4204" w:rsidRDefault="00CC4204" w:rsidP="00CC4204">
      <w:pPr>
        <w:numPr>
          <w:ilvl w:val="0"/>
          <w:numId w:val="1"/>
        </w:numPr>
        <w:spacing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 xml:space="preserve">Deshpande, V., &amp; </w:t>
      </w:r>
      <w:proofErr w:type="spellStart"/>
      <w:r w:rsidRPr="00A47980">
        <w:rPr>
          <w:rFonts w:ascii="Arial" w:eastAsia="Times New Roman" w:hAnsi="Arial" w:cs="Arial"/>
          <w:kern w:val="0"/>
          <w:sz w:val="22"/>
          <w:szCs w:val="22"/>
          <w14:ligatures w14:val="none"/>
        </w:rPr>
        <w:t>Pendem</w:t>
      </w:r>
      <w:proofErr w:type="spellEnd"/>
      <w:r w:rsidRPr="00A47980">
        <w:rPr>
          <w:rFonts w:ascii="Arial" w:eastAsia="Times New Roman" w:hAnsi="Arial" w:cs="Arial"/>
          <w:kern w:val="0"/>
          <w:sz w:val="22"/>
          <w:szCs w:val="22"/>
          <w14:ligatures w14:val="none"/>
        </w:rPr>
        <w:t>, P. K. (2023). Logistics performance, ratings, and its impact on customer purchasing behavior and sales in e-commerce platforms. Manufacturing &amp; Service Operations Management, 25(3), 827–845.</w:t>
      </w:r>
    </w:p>
    <w:p w14:paraId="33874654" w14:textId="3344BB2D" w:rsidR="00A47980" w:rsidRPr="00A47980" w:rsidRDefault="00A47980" w:rsidP="00CC4204">
      <w:pPr>
        <w:numPr>
          <w:ilvl w:val="0"/>
          <w:numId w:val="1"/>
        </w:numPr>
        <w:spacing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Kandula, S., Krishnamoorthy, S., &amp; Roy, D. (2021). A prescriptive analytics framework for efficient e-commerce order delivery. Decision Support Systems, 147, 113584.</w:t>
      </w:r>
    </w:p>
    <w:p w14:paraId="46CDE6E3" w14:textId="5EBF42FC" w:rsidR="00A47980" w:rsidRPr="00A47980" w:rsidRDefault="00A47980" w:rsidP="00CC4204">
      <w:pPr>
        <w:numPr>
          <w:ilvl w:val="0"/>
          <w:numId w:val="1"/>
        </w:numPr>
        <w:spacing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 xml:space="preserve">Van den Goorbergh, R., Van Smeden, M., Timmerman, D., &amp; Van </w:t>
      </w:r>
      <w:proofErr w:type="spellStart"/>
      <w:r w:rsidRPr="00A47980">
        <w:rPr>
          <w:rFonts w:ascii="Arial" w:eastAsia="Times New Roman" w:hAnsi="Arial" w:cs="Arial"/>
          <w:kern w:val="0"/>
          <w:sz w:val="22"/>
          <w:szCs w:val="22"/>
          <w14:ligatures w14:val="none"/>
        </w:rPr>
        <w:t>Calster</w:t>
      </w:r>
      <w:proofErr w:type="spellEnd"/>
      <w:r w:rsidRPr="00A47980">
        <w:rPr>
          <w:rFonts w:ascii="Arial" w:eastAsia="Times New Roman" w:hAnsi="Arial" w:cs="Arial"/>
          <w:kern w:val="0"/>
          <w:sz w:val="22"/>
          <w:szCs w:val="22"/>
          <w14:ligatures w14:val="none"/>
        </w:rPr>
        <w:t>, B. (2022). The harm of class imbalance corrections for risk prediction models: Illustration and simulation using logistic regression. Journal of the American Medical Informatics Association, 29(9), 1525–1534.</w:t>
      </w:r>
    </w:p>
    <w:p w14:paraId="641F6F99" w14:textId="6A79B428" w:rsidR="00A47980" w:rsidRPr="00A47980" w:rsidRDefault="00A47980" w:rsidP="00CC4204">
      <w:pPr>
        <w:numPr>
          <w:ilvl w:val="0"/>
          <w:numId w:val="1"/>
        </w:numPr>
        <w:spacing w:after="0" w:line="360" w:lineRule="auto"/>
        <w:jc w:val="both"/>
        <w:rPr>
          <w:rFonts w:ascii="Arial" w:eastAsia="Times New Roman" w:hAnsi="Arial" w:cs="Arial"/>
          <w:kern w:val="0"/>
          <w:sz w:val="22"/>
          <w:szCs w:val="22"/>
          <w14:ligatures w14:val="none"/>
        </w:rPr>
      </w:pPr>
      <w:r w:rsidRPr="00A47980">
        <w:rPr>
          <w:rFonts w:ascii="Arial" w:eastAsia="Times New Roman" w:hAnsi="Arial" w:cs="Arial"/>
          <w:kern w:val="0"/>
          <w:sz w:val="22"/>
          <w:szCs w:val="22"/>
          <w14:ligatures w14:val="none"/>
        </w:rPr>
        <w:t>Kapoor, S., &amp; Narayanan, A. (2023). Leakage and the reproducibility crisis in machine-learning-based science. Patterns, 4(9).</w:t>
      </w:r>
    </w:p>
    <w:p w14:paraId="25093852" w14:textId="77777777" w:rsidR="00A47980" w:rsidRPr="00A47980" w:rsidRDefault="00A47980" w:rsidP="00CC4204">
      <w:pPr>
        <w:numPr>
          <w:ilvl w:val="0"/>
          <w:numId w:val="1"/>
        </w:numPr>
        <w:spacing w:after="0" w:line="360" w:lineRule="auto"/>
        <w:jc w:val="both"/>
        <w:rPr>
          <w:rFonts w:ascii="Arial" w:eastAsia="Times New Roman" w:hAnsi="Arial" w:cs="Arial"/>
          <w:kern w:val="0"/>
          <w:sz w:val="22"/>
          <w:szCs w:val="22"/>
          <w14:ligatures w14:val="none"/>
        </w:rPr>
      </w:pPr>
      <w:proofErr w:type="spellStart"/>
      <w:r w:rsidRPr="00A47980">
        <w:rPr>
          <w:rFonts w:ascii="Arial" w:eastAsia="Times New Roman" w:hAnsi="Arial" w:cs="Arial"/>
          <w:kern w:val="0"/>
          <w:sz w:val="22"/>
          <w:szCs w:val="22"/>
          <w14:ligatures w14:val="none"/>
        </w:rPr>
        <w:t>Grinsztajn</w:t>
      </w:r>
      <w:proofErr w:type="spellEnd"/>
      <w:r w:rsidRPr="00A47980">
        <w:rPr>
          <w:rFonts w:ascii="Arial" w:eastAsia="Times New Roman" w:hAnsi="Arial" w:cs="Arial"/>
          <w:kern w:val="0"/>
          <w:sz w:val="22"/>
          <w:szCs w:val="22"/>
          <w14:ligatures w14:val="none"/>
        </w:rPr>
        <w:t xml:space="preserve">, L., </w:t>
      </w:r>
      <w:proofErr w:type="spellStart"/>
      <w:r w:rsidRPr="00A47980">
        <w:rPr>
          <w:rFonts w:ascii="Arial" w:eastAsia="Times New Roman" w:hAnsi="Arial" w:cs="Arial"/>
          <w:kern w:val="0"/>
          <w:sz w:val="22"/>
          <w:szCs w:val="22"/>
          <w14:ligatures w14:val="none"/>
        </w:rPr>
        <w:t>Oyallon</w:t>
      </w:r>
      <w:proofErr w:type="spellEnd"/>
      <w:r w:rsidRPr="00A47980">
        <w:rPr>
          <w:rFonts w:ascii="Arial" w:eastAsia="Times New Roman" w:hAnsi="Arial" w:cs="Arial"/>
          <w:kern w:val="0"/>
          <w:sz w:val="22"/>
          <w:szCs w:val="22"/>
          <w14:ligatures w14:val="none"/>
        </w:rPr>
        <w:t xml:space="preserve">, E., &amp; </w:t>
      </w:r>
      <w:proofErr w:type="spellStart"/>
      <w:r w:rsidRPr="00A47980">
        <w:rPr>
          <w:rFonts w:ascii="Arial" w:eastAsia="Times New Roman" w:hAnsi="Arial" w:cs="Arial"/>
          <w:kern w:val="0"/>
          <w:sz w:val="22"/>
          <w:szCs w:val="22"/>
          <w14:ligatures w14:val="none"/>
        </w:rPr>
        <w:t>Varoquaux</w:t>
      </w:r>
      <w:proofErr w:type="spellEnd"/>
      <w:r w:rsidRPr="00A47980">
        <w:rPr>
          <w:rFonts w:ascii="Arial" w:eastAsia="Times New Roman" w:hAnsi="Arial" w:cs="Arial"/>
          <w:kern w:val="0"/>
          <w:sz w:val="22"/>
          <w:szCs w:val="22"/>
          <w14:ligatures w14:val="none"/>
        </w:rPr>
        <w:t>, G. (2022). Why do tree-based models still outperform deep learning on typical tabular data? Advances in Neural Information Processing Systems, 35, 507–520.</w:t>
      </w:r>
    </w:p>
    <w:p w14:paraId="06B16991" w14:textId="77777777" w:rsidR="00A47980" w:rsidRPr="00A47980" w:rsidRDefault="00A47980" w:rsidP="00CC4204">
      <w:pPr>
        <w:spacing w:before="240" w:after="0" w:line="360" w:lineRule="auto"/>
        <w:jc w:val="both"/>
        <w:rPr>
          <w:rFonts w:ascii="Arial" w:eastAsia="Times New Roman" w:hAnsi="Arial" w:cs="Arial"/>
          <w:kern w:val="0"/>
          <w:sz w:val="22"/>
          <w:szCs w:val="22"/>
          <w14:ligatures w14:val="none"/>
        </w:rPr>
      </w:pPr>
    </w:p>
    <w:p w14:paraId="46D17AC7" w14:textId="77777777" w:rsidR="00460692" w:rsidRPr="00A47980" w:rsidRDefault="00460692" w:rsidP="00CC4204">
      <w:pPr>
        <w:spacing w:before="240" w:after="0" w:line="360" w:lineRule="auto"/>
        <w:jc w:val="both"/>
        <w:outlineLvl w:val="2"/>
        <w:rPr>
          <w:rFonts w:ascii="Arial" w:hAnsi="Arial" w:cs="Arial"/>
          <w:sz w:val="22"/>
          <w:szCs w:val="22"/>
        </w:rPr>
      </w:pPr>
    </w:p>
    <w:sectPr w:rsidR="00460692" w:rsidRPr="00A47980" w:rsidSect="00CC4204">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30518"/>
    <w:multiLevelType w:val="multilevel"/>
    <w:tmpl w:val="47DE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2430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B4"/>
    <w:rsid w:val="00024B98"/>
    <w:rsid w:val="00047F28"/>
    <w:rsid w:val="000A69D3"/>
    <w:rsid w:val="000C311C"/>
    <w:rsid w:val="000C47B1"/>
    <w:rsid w:val="000C63EB"/>
    <w:rsid w:val="000D1D23"/>
    <w:rsid w:val="000E44E6"/>
    <w:rsid w:val="001110DB"/>
    <w:rsid w:val="001219D7"/>
    <w:rsid w:val="00197686"/>
    <w:rsid w:val="001A1EBE"/>
    <w:rsid w:val="001D3A9F"/>
    <w:rsid w:val="001E1717"/>
    <w:rsid w:val="001E1736"/>
    <w:rsid w:val="00202E37"/>
    <w:rsid w:val="00220072"/>
    <w:rsid w:val="002335A3"/>
    <w:rsid w:val="00261731"/>
    <w:rsid w:val="00284811"/>
    <w:rsid w:val="002A33AA"/>
    <w:rsid w:val="002A5E1C"/>
    <w:rsid w:val="002C057F"/>
    <w:rsid w:val="002F4B97"/>
    <w:rsid w:val="00310240"/>
    <w:rsid w:val="0032383A"/>
    <w:rsid w:val="003309C3"/>
    <w:rsid w:val="003A02A6"/>
    <w:rsid w:val="003B6F23"/>
    <w:rsid w:val="003D38CA"/>
    <w:rsid w:val="003D4D19"/>
    <w:rsid w:val="00405C0E"/>
    <w:rsid w:val="00433042"/>
    <w:rsid w:val="00443A4C"/>
    <w:rsid w:val="00460692"/>
    <w:rsid w:val="00496A1A"/>
    <w:rsid w:val="004B0099"/>
    <w:rsid w:val="00510F19"/>
    <w:rsid w:val="00533EC6"/>
    <w:rsid w:val="00537BB8"/>
    <w:rsid w:val="00552F4E"/>
    <w:rsid w:val="00553320"/>
    <w:rsid w:val="005C0AC4"/>
    <w:rsid w:val="00611C2D"/>
    <w:rsid w:val="006507A2"/>
    <w:rsid w:val="006945D5"/>
    <w:rsid w:val="00710B63"/>
    <w:rsid w:val="00740CD1"/>
    <w:rsid w:val="007412A8"/>
    <w:rsid w:val="00742C51"/>
    <w:rsid w:val="00762AD5"/>
    <w:rsid w:val="00785628"/>
    <w:rsid w:val="00790FCB"/>
    <w:rsid w:val="007A1BFB"/>
    <w:rsid w:val="007A6618"/>
    <w:rsid w:val="007D20A9"/>
    <w:rsid w:val="008057D1"/>
    <w:rsid w:val="00852CC8"/>
    <w:rsid w:val="00881290"/>
    <w:rsid w:val="008A2B6F"/>
    <w:rsid w:val="008A6E43"/>
    <w:rsid w:val="008B6AAF"/>
    <w:rsid w:val="008D402B"/>
    <w:rsid w:val="008E6DB3"/>
    <w:rsid w:val="00901CD4"/>
    <w:rsid w:val="009319B4"/>
    <w:rsid w:val="0094559E"/>
    <w:rsid w:val="00951954"/>
    <w:rsid w:val="00966C2B"/>
    <w:rsid w:val="009A23D6"/>
    <w:rsid w:val="009C45E2"/>
    <w:rsid w:val="009D2C6F"/>
    <w:rsid w:val="009E4E1C"/>
    <w:rsid w:val="009E671F"/>
    <w:rsid w:val="00A00C20"/>
    <w:rsid w:val="00A01364"/>
    <w:rsid w:val="00A06405"/>
    <w:rsid w:val="00A06B49"/>
    <w:rsid w:val="00A11800"/>
    <w:rsid w:val="00A37296"/>
    <w:rsid w:val="00A47980"/>
    <w:rsid w:val="00A52982"/>
    <w:rsid w:val="00A65249"/>
    <w:rsid w:val="00A737B3"/>
    <w:rsid w:val="00A87700"/>
    <w:rsid w:val="00A926DC"/>
    <w:rsid w:val="00AA79A3"/>
    <w:rsid w:val="00AE1FC9"/>
    <w:rsid w:val="00B31091"/>
    <w:rsid w:val="00B52D91"/>
    <w:rsid w:val="00B56FB2"/>
    <w:rsid w:val="00B6477C"/>
    <w:rsid w:val="00B67879"/>
    <w:rsid w:val="00B83BE7"/>
    <w:rsid w:val="00B969C7"/>
    <w:rsid w:val="00BA5E54"/>
    <w:rsid w:val="00BD000C"/>
    <w:rsid w:val="00C12379"/>
    <w:rsid w:val="00C52F06"/>
    <w:rsid w:val="00CC4204"/>
    <w:rsid w:val="00CE0493"/>
    <w:rsid w:val="00CF3A69"/>
    <w:rsid w:val="00D0052D"/>
    <w:rsid w:val="00D5202B"/>
    <w:rsid w:val="00D75739"/>
    <w:rsid w:val="00D86D6D"/>
    <w:rsid w:val="00D925FB"/>
    <w:rsid w:val="00DF44A2"/>
    <w:rsid w:val="00DF7A09"/>
    <w:rsid w:val="00E12CD5"/>
    <w:rsid w:val="00E43F72"/>
    <w:rsid w:val="00E742EA"/>
    <w:rsid w:val="00E75B21"/>
    <w:rsid w:val="00E82067"/>
    <w:rsid w:val="00EB1F77"/>
    <w:rsid w:val="00ED1E74"/>
    <w:rsid w:val="00ED504E"/>
    <w:rsid w:val="00EF7C4D"/>
    <w:rsid w:val="00F27858"/>
    <w:rsid w:val="00F27EC5"/>
    <w:rsid w:val="00F73B13"/>
    <w:rsid w:val="00F764C0"/>
    <w:rsid w:val="00F8061B"/>
    <w:rsid w:val="00F82F7C"/>
    <w:rsid w:val="00F84506"/>
    <w:rsid w:val="00FB47B0"/>
    <w:rsid w:val="00FC5F2B"/>
    <w:rsid w:val="00FE25A3"/>
    <w:rsid w:val="00FE4006"/>
    <w:rsid w:val="00FE4194"/>
    <w:rsid w:val="00FF58A3"/>
    <w:rsid w:val="00FF65C5"/>
    <w:rsid w:val="00FF7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8DEA"/>
  <w15:chartTrackingRefBased/>
  <w15:docId w15:val="{E8BB2DE7-4FDC-5449-9D83-3144824DF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9B4"/>
    <w:rPr>
      <w:rFonts w:eastAsiaTheme="majorEastAsia" w:cstheme="majorBidi"/>
      <w:color w:val="272727" w:themeColor="text1" w:themeTint="D8"/>
    </w:rPr>
  </w:style>
  <w:style w:type="paragraph" w:styleId="Title">
    <w:name w:val="Title"/>
    <w:basedOn w:val="Normal"/>
    <w:next w:val="Normal"/>
    <w:link w:val="TitleChar"/>
    <w:uiPriority w:val="10"/>
    <w:qFormat/>
    <w:rsid w:val="00931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9B4"/>
    <w:pPr>
      <w:spacing w:before="160"/>
      <w:jc w:val="center"/>
    </w:pPr>
    <w:rPr>
      <w:i/>
      <w:iCs/>
      <w:color w:val="404040" w:themeColor="text1" w:themeTint="BF"/>
    </w:rPr>
  </w:style>
  <w:style w:type="character" w:customStyle="1" w:styleId="QuoteChar">
    <w:name w:val="Quote Char"/>
    <w:basedOn w:val="DefaultParagraphFont"/>
    <w:link w:val="Quote"/>
    <w:uiPriority w:val="29"/>
    <w:rsid w:val="009319B4"/>
    <w:rPr>
      <w:i/>
      <w:iCs/>
      <w:color w:val="404040" w:themeColor="text1" w:themeTint="BF"/>
    </w:rPr>
  </w:style>
  <w:style w:type="paragraph" w:styleId="ListParagraph">
    <w:name w:val="List Paragraph"/>
    <w:basedOn w:val="Normal"/>
    <w:uiPriority w:val="34"/>
    <w:qFormat/>
    <w:rsid w:val="009319B4"/>
    <w:pPr>
      <w:ind w:left="720"/>
      <w:contextualSpacing/>
    </w:pPr>
  </w:style>
  <w:style w:type="character" w:styleId="IntenseEmphasis">
    <w:name w:val="Intense Emphasis"/>
    <w:basedOn w:val="DefaultParagraphFont"/>
    <w:uiPriority w:val="21"/>
    <w:qFormat/>
    <w:rsid w:val="009319B4"/>
    <w:rPr>
      <w:i/>
      <w:iCs/>
      <w:color w:val="0F4761" w:themeColor="accent1" w:themeShade="BF"/>
    </w:rPr>
  </w:style>
  <w:style w:type="paragraph" w:styleId="IntenseQuote">
    <w:name w:val="Intense Quote"/>
    <w:basedOn w:val="Normal"/>
    <w:next w:val="Normal"/>
    <w:link w:val="IntenseQuoteChar"/>
    <w:uiPriority w:val="30"/>
    <w:qFormat/>
    <w:rsid w:val="00931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9B4"/>
    <w:rPr>
      <w:i/>
      <w:iCs/>
      <w:color w:val="0F4761" w:themeColor="accent1" w:themeShade="BF"/>
    </w:rPr>
  </w:style>
  <w:style w:type="character" w:styleId="IntenseReference">
    <w:name w:val="Intense Reference"/>
    <w:basedOn w:val="DefaultParagraphFont"/>
    <w:uiPriority w:val="32"/>
    <w:qFormat/>
    <w:rsid w:val="009319B4"/>
    <w:rPr>
      <w:b/>
      <w:bCs/>
      <w:smallCaps/>
      <w:color w:val="0F4761" w:themeColor="accent1" w:themeShade="BF"/>
      <w:spacing w:val="5"/>
    </w:rPr>
  </w:style>
  <w:style w:type="paragraph" w:styleId="NormalWeb">
    <w:name w:val="Normal (Web)"/>
    <w:basedOn w:val="Normal"/>
    <w:uiPriority w:val="99"/>
    <w:semiHidden/>
    <w:unhideWhenUsed/>
    <w:rsid w:val="009319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479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Laura</dc:creator>
  <cp:keywords/>
  <dc:description/>
  <cp:lastModifiedBy>Hu Laura</cp:lastModifiedBy>
  <cp:revision>12</cp:revision>
  <dcterms:created xsi:type="dcterms:W3CDTF">2026-09-09T10:33:00Z</dcterms:created>
  <dcterms:modified xsi:type="dcterms:W3CDTF">2026-09-09T14:28:00Z</dcterms:modified>
</cp:coreProperties>
</file>