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356" w:type="dxa"/>
        <w:tblLayout w:type="fixed"/>
        <w:tblCellMar>
          <w:left w:w="70" w:type="dxa"/>
          <w:right w:w="70" w:type="dxa"/>
        </w:tblCellMar>
        <w:tblLook w:val="0000" w:firstRow="0" w:lastRow="0" w:firstColumn="0" w:lastColumn="0" w:noHBand="0" w:noVBand="0"/>
      </w:tblPr>
      <w:tblGrid>
        <w:gridCol w:w="5529"/>
        <w:gridCol w:w="4678"/>
      </w:tblGrid>
      <w:tr w:rsidR="0090282C" w:rsidRPr="00E55E7A" w14:paraId="7FD58753" w14:textId="77777777" w:rsidTr="004F62E7">
        <w:tc>
          <w:tcPr>
            <w:tcW w:w="5529" w:type="dxa"/>
          </w:tcPr>
          <w:p w14:paraId="4C20D5A6" w14:textId="77777777" w:rsidR="0090282C" w:rsidRPr="00E55E7A" w:rsidRDefault="0090282C" w:rsidP="008825DC">
            <w:pPr>
              <w:keepNext/>
              <w:tabs>
                <w:tab w:val="left" w:pos="4110"/>
              </w:tabs>
              <w:spacing w:after="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AUTORITE DE REGULATION DE LA COMMANDE PUBLIQUE</w:t>
            </w:r>
          </w:p>
        </w:tc>
        <w:tc>
          <w:tcPr>
            <w:tcW w:w="4678" w:type="dxa"/>
          </w:tcPr>
          <w:p w14:paraId="5152BDE8" w14:textId="77777777" w:rsidR="0090282C" w:rsidRPr="00E55E7A" w:rsidRDefault="0090282C" w:rsidP="008825DC">
            <w:pPr>
              <w:keepNext/>
              <w:spacing w:after="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
                <w:iCs/>
                <w:sz w:val="24"/>
                <w:szCs w:val="24"/>
              </w:rPr>
              <w:t xml:space="preserve">     BURKINA FASO</w:t>
            </w:r>
          </w:p>
          <w:p w14:paraId="0CEF1AB1" w14:textId="77777777" w:rsidR="000730D6" w:rsidRPr="00E55E7A" w:rsidRDefault="000730D6" w:rsidP="008825DC">
            <w:pPr>
              <w:spacing w:after="0" w:line="240" w:lineRule="auto"/>
              <w:jc w:val="center"/>
              <w:rPr>
                <w:rFonts w:ascii="Rockwell" w:eastAsia="Times New Roman" w:hAnsi="Rockwell" w:cs="Times New Roman"/>
                <w:b/>
                <w:bCs/>
                <w:sz w:val="24"/>
                <w:szCs w:val="24"/>
              </w:rPr>
            </w:pPr>
            <w:r w:rsidRPr="00E55E7A">
              <w:rPr>
                <w:rFonts w:ascii="Rockwell" w:eastAsia="Times New Roman" w:hAnsi="Rockwell" w:cs="Times New Roman"/>
                <w:b/>
                <w:bCs/>
                <w:sz w:val="24"/>
                <w:szCs w:val="24"/>
              </w:rPr>
              <w:t>--------------------</w:t>
            </w:r>
          </w:p>
          <w:p w14:paraId="22B11DEB" w14:textId="577B6968" w:rsidR="000730D6" w:rsidRPr="00E55E7A" w:rsidRDefault="000730D6" w:rsidP="008825DC">
            <w:pPr>
              <w:keepNext/>
              <w:spacing w:after="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Cs/>
                <w:sz w:val="24"/>
                <w:szCs w:val="24"/>
              </w:rPr>
              <w:t xml:space="preserve">      Unité – Progrès – Justice</w:t>
            </w:r>
          </w:p>
        </w:tc>
      </w:tr>
      <w:tr w:rsidR="0090282C" w:rsidRPr="00E55E7A" w14:paraId="5C03E4B8" w14:textId="77777777" w:rsidTr="004F62E7">
        <w:trPr>
          <w:trHeight w:val="680"/>
        </w:trPr>
        <w:tc>
          <w:tcPr>
            <w:tcW w:w="5529" w:type="dxa"/>
          </w:tcPr>
          <w:p w14:paraId="3DB57BE1" w14:textId="77777777"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iCs/>
                <w:sz w:val="24"/>
                <w:szCs w:val="24"/>
              </w:rPr>
              <w:t>--------------------</w:t>
            </w:r>
          </w:p>
          <w:p w14:paraId="765E42F9" w14:textId="77777777" w:rsidR="0090282C" w:rsidRPr="00E55E7A" w:rsidRDefault="0090282C" w:rsidP="008825DC">
            <w:pPr>
              <w:keepNext/>
              <w:spacing w:after="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SECRETARIAT PERMANENT</w:t>
            </w:r>
          </w:p>
        </w:tc>
        <w:tc>
          <w:tcPr>
            <w:tcW w:w="4678" w:type="dxa"/>
          </w:tcPr>
          <w:p w14:paraId="36BBC1BB" w14:textId="613698B1" w:rsidR="0090282C" w:rsidRPr="00E55E7A" w:rsidRDefault="0090282C" w:rsidP="008825DC">
            <w:pPr>
              <w:keepNext/>
              <w:spacing w:after="0" w:line="240" w:lineRule="auto"/>
              <w:jc w:val="center"/>
              <w:outlineLvl w:val="2"/>
              <w:rPr>
                <w:rFonts w:ascii="Rockwell" w:eastAsia="Times New Roman" w:hAnsi="Rockwell" w:cs="Times New Roman"/>
                <w:bCs/>
                <w:sz w:val="24"/>
                <w:szCs w:val="24"/>
              </w:rPr>
            </w:pPr>
          </w:p>
        </w:tc>
      </w:tr>
      <w:tr w:rsidR="0090282C" w:rsidRPr="00E55E7A" w14:paraId="165B48E7" w14:textId="77777777" w:rsidTr="004F62E7">
        <w:trPr>
          <w:gridAfter w:val="1"/>
          <w:wAfter w:w="4678" w:type="dxa"/>
        </w:trPr>
        <w:tc>
          <w:tcPr>
            <w:tcW w:w="5529" w:type="dxa"/>
          </w:tcPr>
          <w:p w14:paraId="1C6A531E" w14:textId="77777777"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w:t>
            </w:r>
          </w:p>
          <w:p w14:paraId="36036B6F" w14:textId="1BCF5F8C"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DIRECTION DE LA </w:t>
            </w:r>
            <w:r w:rsidR="00941D86" w:rsidRPr="00E55E7A">
              <w:rPr>
                <w:rFonts w:ascii="Rockwell" w:eastAsia="Times New Roman" w:hAnsi="Rockwell" w:cs="Times New Roman"/>
                <w:b/>
                <w:sz w:val="24"/>
                <w:szCs w:val="24"/>
              </w:rPr>
              <w:t>REGLEMENTATION</w:t>
            </w:r>
          </w:p>
          <w:p w14:paraId="3C3D4A61" w14:textId="5868F1EB" w:rsidR="0090282C" w:rsidRPr="00E55E7A" w:rsidRDefault="00941D86"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DES STATISTIQUES </w:t>
            </w:r>
            <w:r w:rsidR="0090282C" w:rsidRPr="00E55E7A">
              <w:rPr>
                <w:rFonts w:ascii="Rockwell" w:eastAsia="Times New Roman" w:hAnsi="Rockwell" w:cs="Times New Roman"/>
                <w:b/>
                <w:sz w:val="24"/>
                <w:szCs w:val="24"/>
              </w:rPr>
              <w:t>ET DU SUIVI - EVALUATION</w:t>
            </w:r>
          </w:p>
        </w:tc>
      </w:tr>
    </w:tbl>
    <w:p w14:paraId="47087B57" w14:textId="77777777" w:rsidR="0090282C" w:rsidRPr="00E55E7A" w:rsidRDefault="0090282C" w:rsidP="00E00126">
      <w:pPr>
        <w:tabs>
          <w:tab w:val="left" w:pos="3990"/>
        </w:tabs>
        <w:spacing w:before="120" w:after="120" w:line="240" w:lineRule="auto"/>
        <w:jc w:val="both"/>
        <w:rPr>
          <w:rFonts w:ascii="Rockwell" w:eastAsia="Times New Roman" w:hAnsi="Rockwell" w:cs="Times New Roman"/>
          <w:sz w:val="24"/>
          <w:szCs w:val="24"/>
        </w:rPr>
      </w:pPr>
      <w:r w:rsidRPr="00E55E7A">
        <w:rPr>
          <w:rFonts w:ascii="Rockwell" w:eastAsia="Times New Roman" w:hAnsi="Rockwell" w:cs="Times New Roman"/>
          <w:sz w:val="24"/>
          <w:szCs w:val="24"/>
        </w:rPr>
        <w:tab/>
      </w:r>
    </w:p>
    <w:p w14:paraId="1B9D2F56" w14:textId="77777777" w:rsidR="0090282C" w:rsidRPr="00E55E7A" w:rsidRDefault="0090282C" w:rsidP="00E00126">
      <w:pPr>
        <w:spacing w:before="120" w:after="120" w:line="240" w:lineRule="auto"/>
        <w:rPr>
          <w:rFonts w:ascii="Rockwell" w:eastAsia="Times New Roman" w:hAnsi="Rockwell" w:cs="Times New Roman"/>
          <w:sz w:val="24"/>
          <w:szCs w:val="24"/>
        </w:rPr>
      </w:pPr>
    </w:p>
    <w:p w14:paraId="0BE05700" w14:textId="275059FE" w:rsidR="0090282C" w:rsidRDefault="0090282C" w:rsidP="00E00126">
      <w:pPr>
        <w:spacing w:before="120" w:after="120" w:line="240" w:lineRule="auto"/>
        <w:jc w:val="both"/>
        <w:rPr>
          <w:rFonts w:ascii="Rockwell" w:eastAsia="Times New Roman" w:hAnsi="Rockwell" w:cs="Times New Roman"/>
          <w:sz w:val="24"/>
          <w:szCs w:val="24"/>
        </w:rPr>
      </w:pPr>
    </w:p>
    <w:p w14:paraId="50991BD2" w14:textId="1CCD2A1F" w:rsidR="00752F31" w:rsidRDefault="00752F31" w:rsidP="00E00126">
      <w:pPr>
        <w:spacing w:before="120" w:after="120" w:line="240" w:lineRule="auto"/>
        <w:jc w:val="both"/>
        <w:rPr>
          <w:rFonts w:ascii="Rockwell" w:eastAsia="Times New Roman" w:hAnsi="Rockwell" w:cs="Times New Roman"/>
          <w:sz w:val="24"/>
          <w:szCs w:val="24"/>
        </w:rPr>
      </w:pPr>
    </w:p>
    <w:p w14:paraId="05D5B125" w14:textId="77777777" w:rsidR="00752F31" w:rsidRPr="00E55E7A" w:rsidRDefault="00752F31" w:rsidP="00E00126">
      <w:pPr>
        <w:spacing w:before="120" w:after="120" w:line="240" w:lineRule="auto"/>
        <w:jc w:val="both"/>
        <w:rPr>
          <w:rFonts w:ascii="Rockwell" w:eastAsia="Times New Roman" w:hAnsi="Rockwell" w:cs="Times New Roman"/>
          <w:sz w:val="24"/>
          <w:szCs w:val="24"/>
        </w:rPr>
      </w:pPr>
    </w:p>
    <w:p w14:paraId="37F832B6" w14:textId="7E5C6EF9" w:rsidR="0090282C" w:rsidRDefault="0090282C" w:rsidP="00E00126">
      <w:pPr>
        <w:spacing w:before="120" w:after="120" w:line="240" w:lineRule="auto"/>
        <w:jc w:val="both"/>
        <w:rPr>
          <w:rFonts w:ascii="Rockwell" w:eastAsia="Times New Roman" w:hAnsi="Rockwell" w:cs="Times New Roman"/>
          <w:sz w:val="24"/>
          <w:szCs w:val="24"/>
        </w:rPr>
      </w:pPr>
    </w:p>
    <w:p w14:paraId="3B1A34C1" w14:textId="77777777" w:rsidR="008825DC" w:rsidRDefault="008825DC" w:rsidP="00E00126">
      <w:pPr>
        <w:spacing w:before="120" w:after="120" w:line="240" w:lineRule="auto"/>
        <w:jc w:val="both"/>
        <w:rPr>
          <w:rFonts w:ascii="Rockwell" w:eastAsia="Times New Roman" w:hAnsi="Rockwell" w:cs="Times New Roman"/>
          <w:sz w:val="24"/>
          <w:szCs w:val="24"/>
        </w:rPr>
      </w:pPr>
    </w:p>
    <w:p w14:paraId="4ACDB8A5" w14:textId="77777777" w:rsidR="004F62E7" w:rsidRPr="00E55E7A" w:rsidRDefault="004F62E7" w:rsidP="00E00126">
      <w:pPr>
        <w:spacing w:before="120" w:after="120" w:line="240" w:lineRule="auto"/>
        <w:jc w:val="both"/>
        <w:rPr>
          <w:rFonts w:ascii="Rockwell" w:eastAsia="Times New Roman" w:hAnsi="Rockwell" w:cs="Times New Roman"/>
          <w:sz w:val="24"/>
          <w:szCs w:val="24"/>
        </w:rPr>
      </w:pPr>
    </w:p>
    <w:p w14:paraId="47BE3E1E" w14:textId="77777777" w:rsidR="0090282C" w:rsidRPr="00E55E7A" w:rsidRDefault="0090282C" w:rsidP="00E00126">
      <w:pPr>
        <w:spacing w:before="120" w:after="120" w:line="240" w:lineRule="auto"/>
        <w:jc w:val="both"/>
        <w:rPr>
          <w:rFonts w:ascii="Rockwell" w:eastAsia="Times New Roman" w:hAnsi="Rockwell" w:cs="Times New Roman"/>
          <w:sz w:val="24"/>
          <w:szCs w:val="24"/>
        </w:rPr>
      </w:pPr>
    </w:p>
    <w:p w14:paraId="50602EB9" w14:textId="2951DEA8" w:rsidR="0090282C" w:rsidRDefault="00B461D9" w:rsidP="00E00126">
      <w:pPr>
        <w:pBdr>
          <w:top w:val="single" w:sz="18" w:space="1" w:color="auto" w:shadow="1"/>
          <w:left w:val="single" w:sz="18" w:space="4" w:color="auto" w:shadow="1"/>
          <w:bottom w:val="single" w:sz="18" w:space="1" w:color="auto" w:shadow="1"/>
          <w:right w:val="single" w:sz="18" w:space="4" w:color="auto" w:shadow="1"/>
        </w:pBdr>
        <w:spacing w:before="120" w:after="120" w:line="240" w:lineRule="auto"/>
        <w:jc w:val="center"/>
        <w:outlineLvl w:val="0"/>
        <w:rPr>
          <w:rFonts w:ascii="Rockwell" w:eastAsia="Times New Roman" w:hAnsi="Rockwell" w:cs="Times New Roman"/>
          <w:b/>
          <w:sz w:val="30"/>
          <w:szCs w:val="30"/>
        </w:rPr>
      </w:pPr>
      <w:r w:rsidRPr="00DE4490">
        <w:rPr>
          <w:rFonts w:ascii="Rockwell" w:eastAsia="Times New Roman" w:hAnsi="Rockwell" w:cs="Times New Roman"/>
          <w:b/>
          <w:sz w:val="30"/>
          <w:szCs w:val="30"/>
        </w:rPr>
        <w:t>S</w:t>
      </w:r>
      <w:r w:rsidR="00DE4490" w:rsidRPr="00DE4490">
        <w:rPr>
          <w:rFonts w:ascii="Rockwell" w:eastAsia="Times New Roman" w:hAnsi="Rockwell" w:cs="Times New Roman"/>
          <w:b/>
          <w:sz w:val="30"/>
          <w:szCs w:val="30"/>
        </w:rPr>
        <w:t>ynthèse des modifications contenues dans le projet de décret portant procédures de passation, d’exécution et de règlement des marchés publics</w:t>
      </w:r>
    </w:p>
    <w:p w14:paraId="14ED4155" w14:textId="77777777" w:rsidR="0090282C" w:rsidRPr="00E55E7A" w:rsidRDefault="0090282C" w:rsidP="00DA2E4C">
      <w:pPr>
        <w:spacing w:before="120" w:after="120" w:line="240" w:lineRule="auto"/>
        <w:jc w:val="both"/>
        <w:rPr>
          <w:rFonts w:ascii="Rockwell" w:eastAsia="Times New Roman" w:hAnsi="Rockwell" w:cs="Times New Roman"/>
          <w:b/>
          <w:sz w:val="24"/>
          <w:szCs w:val="24"/>
          <w:u w:val="single"/>
        </w:rPr>
      </w:pPr>
    </w:p>
    <w:p w14:paraId="50B0288F" w14:textId="38D17349" w:rsidR="0090282C" w:rsidRPr="00E55E7A" w:rsidRDefault="0090282C" w:rsidP="00E00126">
      <w:pPr>
        <w:spacing w:before="120" w:after="120" w:line="240" w:lineRule="auto"/>
        <w:jc w:val="both"/>
        <w:rPr>
          <w:rFonts w:ascii="Rockwell" w:eastAsia="Times New Roman" w:hAnsi="Rockwell" w:cs="Times New Roman"/>
          <w:b/>
          <w:sz w:val="24"/>
          <w:szCs w:val="24"/>
          <w:u w:val="single"/>
        </w:rPr>
      </w:pPr>
    </w:p>
    <w:p w14:paraId="28747B38" w14:textId="3DD64938" w:rsidR="00753DFC" w:rsidRPr="00753DFC" w:rsidRDefault="00753DFC" w:rsidP="00753DFC">
      <w:pPr>
        <w:spacing w:before="120" w:after="120" w:line="240" w:lineRule="auto"/>
        <w:jc w:val="center"/>
        <w:rPr>
          <w:rFonts w:ascii="Rockwell" w:eastAsia="Times New Roman" w:hAnsi="Rockwell" w:cs="Times New Roman"/>
          <w:b/>
          <w:sz w:val="30"/>
          <w:szCs w:val="30"/>
        </w:rPr>
      </w:pPr>
    </w:p>
    <w:p w14:paraId="397EB5AA" w14:textId="17A7EB63" w:rsidR="00DA2E4C" w:rsidRPr="00DA2E4C" w:rsidRDefault="00DA2E4C" w:rsidP="00DA2E4C">
      <w:pPr>
        <w:spacing w:before="120" w:after="120" w:line="240" w:lineRule="auto"/>
        <w:jc w:val="center"/>
        <w:rPr>
          <w:rFonts w:ascii="Rockwell" w:eastAsia="Times New Roman" w:hAnsi="Rockwell" w:cs="Times New Roman"/>
          <w:b/>
          <w:sz w:val="30"/>
          <w:szCs w:val="30"/>
        </w:rPr>
      </w:pPr>
    </w:p>
    <w:p w14:paraId="56408704" w14:textId="048899F2" w:rsidR="002E01FD" w:rsidRPr="00E55E7A" w:rsidRDefault="002E01FD" w:rsidP="00E00126">
      <w:pPr>
        <w:spacing w:before="120" w:after="120" w:line="240" w:lineRule="auto"/>
        <w:jc w:val="both"/>
        <w:rPr>
          <w:rFonts w:ascii="Rockwell" w:eastAsia="Times New Roman" w:hAnsi="Rockwell" w:cs="Times New Roman"/>
          <w:b/>
          <w:sz w:val="24"/>
          <w:szCs w:val="24"/>
          <w:u w:val="single"/>
        </w:rPr>
      </w:pPr>
    </w:p>
    <w:p w14:paraId="07868533" w14:textId="4B210A00" w:rsidR="002E01FD" w:rsidRDefault="002E01FD" w:rsidP="00E00126">
      <w:pPr>
        <w:spacing w:before="120" w:after="120" w:line="240" w:lineRule="auto"/>
        <w:jc w:val="both"/>
        <w:rPr>
          <w:rFonts w:ascii="Rockwell" w:eastAsia="Times New Roman" w:hAnsi="Rockwell" w:cs="Times New Roman"/>
          <w:b/>
          <w:sz w:val="24"/>
          <w:szCs w:val="24"/>
          <w:u w:val="single"/>
        </w:rPr>
      </w:pPr>
    </w:p>
    <w:p w14:paraId="4D898BCC" w14:textId="51317898" w:rsidR="00752F31" w:rsidRDefault="00752F31" w:rsidP="00E00126">
      <w:pPr>
        <w:spacing w:before="120" w:after="120" w:line="240" w:lineRule="auto"/>
        <w:jc w:val="both"/>
        <w:rPr>
          <w:rFonts w:ascii="Rockwell" w:eastAsia="Times New Roman" w:hAnsi="Rockwell" w:cs="Times New Roman"/>
          <w:b/>
          <w:sz w:val="24"/>
          <w:szCs w:val="24"/>
          <w:u w:val="single"/>
        </w:rPr>
      </w:pPr>
    </w:p>
    <w:p w14:paraId="71EC3336" w14:textId="77777777" w:rsidR="004F62E7" w:rsidRDefault="004F62E7" w:rsidP="00E00126">
      <w:pPr>
        <w:spacing w:before="120" w:after="120" w:line="240" w:lineRule="auto"/>
        <w:jc w:val="both"/>
        <w:rPr>
          <w:rFonts w:ascii="Rockwell" w:eastAsia="Times New Roman" w:hAnsi="Rockwell" w:cs="Times New Roman"/>
          <w:b/>
          <w:sz w:val="24"/>
          <w:szCs w:val="24"/>
          <w:u w:val="single"/>
        </w:rPr>
      </w:pPr>
    </w:p>
    <w:p w14:paraId="0E094194" w14:textId="142595EC" w:rsidR="00752F31" w:rsidRDefault="00752F31" w:rsidP="00E00126">
      <w:pPr>
        <w:spacing w:before="120" w:after="120" w:line="240" w:lineRule="auto"/>
        <w:jc w:val="both"/>
        <w:rPr>
          <w:rFonts w:ascii="Rockwell" w:eastAsia="Times New Roman" w:hAnsi="Rockwell" w:cs="Times New Roman"/>
          <w:b/>
          <w:sz w:val="24"/>
          <w:szCs w:val="24"/>
          <w:u w:val="single"/>
        </w:rPr>
      </w:pPr>
    </w:p>
    <w:p w14:paraId="00F53955" w14:textId="77777777" w:rsidR="00752F31" w:rsidRDefault="00752F31" w:rsidP="00E00126">
      <w:pPr>
        <w:spacing w:before="120" w:after="120" w:line="240" w:lineRule="auto"/>
        <w:jc w:val="both"/>
        <w:rPr>
          <w:rFonts w:ascii="Rockwell" w:eastAsia="Times New Roman" w:hAnsi="Rockwell" w:cs="Times New Roman"/>
          <w:b/>
          <w:sz w:val="24"/>
          <w:szCs w:val="24"/>
          <w:u w:val="single"/>
        </w:rPr>
      </w:pPr>
    </w:p>
    <w:p w14:paraId="10339E66" w14:textId="77777777" w:rsidR="00752F31" w:rsidRPr="00E55E7A" w:rsidRDefault="00752F31" w:rsidP="00E00126">
      <w:pPr>
        <w:spacing w:before="120" w:after="120" w:line="240" w:lineRule="auto"/>
        <w:jc w:val="both"/>
        <w:rPr>
          <w:rFonts w:ascii="Rockwell" w:eastAsia="Times New Roman" w:hAnsi="Rockwell" w:cs="Times New Roman"/>
          <w:b/>
          <w:sz w:val="24"/>
          <w:szCs w:val="24"/>
          <w:u w:val="single"/>
        </w:rPr>
      </w:pPr>
    </w:p>
    <w:p w14:paraId="1110C41A" w14:textId="15498013" w:rsidR="0090282C" w:rsidRPr="00E55E7A" w:rsidRDefault="0090282C" w:rsidP="00E00126">
      <w:pPr>
        <w:spacing w:before="120" w:after="120" w:line="240" w:lineRule="auto"/>
        <w:jc w:val="both"/>
        <w:rPr>
          <w:rFonts w:ascii="Rockwell" w:eastAsia="Times New Roman" w:hAnsi="Rockwell" w:cs="Times New Roman"/>
          <w:b/>
          <w:sz w:val="24"/>
          <w:szCs w:val="24"/>
          <w:u w:val="single"/>
        </w:rPr>
      </w:pPr>
    </w:p>
    <w:p w14:paraId="3FC31465" w14:textId="7D60B919" w:rsidR="00D206D7" w:rsidRPr="00E55E7A" w:rsidRDefault="00DA2E4C" w:rsidP="00E00126">
      <w:pPr>
        <w:spacing w:before="120" w:after="120" w:line="240" w:lineRule="auto"/>
        <w:jc w:val="right"/>
        <w:rPr>
          <w:rFonts w:ascii="Rockwell" w:eastAsia="Times New Roman" w:hAnsi="Rockwell" w:cs="Times New Roman"/>
          <w:b/>
          <w:sz w:val="24"/>
          <w:szCs w:val="24"/>
        </w:rPr>
      </w:pPr>
      <w:r>
        <w:rPr>
          <w:rFonts w:ascii="Rockwell" w:eastAsia="Times New Roman" w:hAnsi="Rockwell" w:cs="Times New Roman"/>
          <w:b/>
          <w:sz w:val="24"/>
          <w:szCs w:val="24"/>
        </w:rPr>
        <w:t xml:space="preserve">Juin </w:t>
      </w:r>
      <w:r w:rsidR="00D206D7" w:rsidRPr="00E55E7A">
        <w:rPr>
          <w:rFonts w:ascii="Rockwell" w:eastAsia="Times New Roman" w:hAnsi="Rockwell" w:cs="Times New Roman"/>
          <w:b/>
          <w:sz w:val="24"/>
          <w:szCs w:val="24"/>
        </w:rPr>
        <w:t>202</w:t>
      </w:r>
      <w:r w:rsidR="002E01FD" w:rsidRPr="00E55E7A">
        <w:rPr>
          <w:rFonts w:ascii="Rockwell" w:eastAsia="Times New Roman" w:hAnsi="Rockwell" w:cs="Times New Roman"/>
          <w:b/>
          <w:sz w:val="24"/>
          <w:szCs w:val="24"/>
        </w:rPr>
        <w:t>3</w:t>
      </w:r>
    </w:p>
    <w:p w14:paraId="57A3FBD3" w14:textId="77777777" w:rsidR="00DE4490" w:rsidRPr="00DE4490" w:rsidRDefault="00DE4490" w:rsidP="00DE4490">
      <w:pPr>
        <w:spacing w:before="120" w:after="120" w:line="240" w:lineRule="auto"/>
        <w:jc w:val="both"/>
        <w:rPr>
          <w:rFonts w:ascii="Rockwell" w:eastAsia="Arial" w:hAnsi="Rockwell" w:cs="Arial"/>
          <w:sz w:val="24"/>
          <w:szCs w:val="24"/>
        </w:rPr>
      </w:pPr>
    </w:p>
    <w:p w14:paraId="3CB87552" w14:textId="77777777" w:rsidR="00DE4490" w:rsidRPr="00DE4490" w:rsidRDefault="00DE4490" w:rsidP="00DE4490">
      <w:pPr>
        <w:spacing w:before="120" w:after="120" w:line="240" w:lineRule="auto"/>
        <w:jc w:val="both"/>
        <w:rPr>
          <w:rFonts w:ascii="Rockwell" w:eastAsia="Arial" w:hAnsi="Rockwell" w:cs="Arial"/>
          <w:sz w:val="24"/>
          <w:szCs w:val="24"/>
        </w:rPr>
      </w:pPr>
    </w:p>
    <w:p w14:paraId="742AA57D" w14:textId="4900BF51" w:rsidR="002452CA" w:rsidRPr="00B96DAE" w:rsidRDefault="002452CA"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hAnsi="Rockwell"/>
          <w:sz w:val="24"/>
          <w:szCs w:val="24"/>
        </w:rPr>
        <w:lastRenderedPageBreak/>
        <w:t>La suppression de la notion de « délégations de service public » (DSP) pour tenir compte de la prise en compte des DSP dans la nouvelle loi n°032-2021/AN du 25 juin 2021 portant cadre juridique et institutionnel du partenariat public-privé au Burkina Faso.</w:t>
      </w:r>
    </w:p>
    <w:p w14:paraId="3DD3D9B6" w14:textId="06187AC6" w:rsidR="002452CA" w:rsidRPr="00B96DAE" w:rsidRDefault="002452CA"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w:t>
      </w:r>
      <w:r w:rsidRPr="00B96DAE">
        <w:rPr>
          <w:rFonts w:ascii="Rockwell" w:eastAsia="Arial" w:hAnsi="Rockwell" w:cs="Arial"/>
          <w:sz w:val="24"/>
          <w:szCs w:val="24"/>
        </w:rPr>
        <w:t> :</w:t>
      </w:r>
    </w:p>
    <w:p w14:paraId="347BFF03" w14:textId="77777777" w:rsidR="002452CA" w:rsidRPr="00B96DAE" w:rsidRDefault="002452CA"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w:t>
      </w:r>
      <w:proofErr w:type="gramEnd"/>
      <w:r w:rsidRPr="00B96DAE">
        <w:rPr>
          <w:rFonts w:ascii="Rockwell" w:eastAsia="Arial" w:hAnsi="Rockwell" w:cs="Arial"/>
          <w:sz w:val="24"/>
          <w:szCs w:val="24"/>
        </w:rPr>
        <w:t xml:space="preserve"> définition du terme « concours » en lieu et place de « concours architectural » ;</w:t>
      </w:r>
    </w:p>
    <w:p w14:paraId="7EFC5484" w14:textId="77777777" w:rsidR="002452CA" w:rsidRPr="00B96DAE" w:rsidRDefault="002452CA"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w:t>
      </w:r>
      <w:proofErr w:type="gramEnd"/>
      <w:r w:rsidRPr="00B96DAE">
        <w:rPr>
          <w:rFonts w:ascii="Rockwell" w:eastAsia="Arial" w:hAnsi="Rockwell" w:cs="Arial"/>
          <w:sz w:val="24"/>
          <w:szCs w:val="24"/>
        </w:rPr>
        <w:t xml:space="preserve"> modification de la définition de l’entreprise défaillante pour la rendre plus cohérente et renforcer les sanctions desdites entreprises ;</w:t>
      </w:r>
    </w:p>
    <w:p w14:paraId="43762B7B" w14:textId="77777777" w:rsidR="002452CA" w:rsidRPr="00B96DAE" w:rsidRDefault="002452CA"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w:t>
      </w:r>
      <w:proofErr w:type="gramEnd"/>
      <w:r w:rsidRPr="00B96DAE">
        <w:rPr>
          <w:rFonts w:ascii="Rockwell" w:eastAsia="Arial" w:hAnsi="Rockwell" w:cs="Arial"/>
          <w:sz w:val="24"/>
          <w:szCs w:val="24"/>
        </w:rPr>
        <w:t xml:space="preserve"> modification des définitions des termes « marchés publics de prestations intellectuelles » et « marchés publics de services courants » ;</w:t>
      </w:r>
    </w:p>
    <w:p w14:paraId="3EE5A35A" w14:textId="77777777" w:rsidR="00EA1CCD" w:rsidRPr="00B96DAE" w:rsidRDefault="002452CA"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le</w:t>
      </w:r>
      <w:proofErr w:type="gramEnd"/>
      <w:r w:rsidRPr="00B96DAE">
        <w:rPr>
          <w:rFonts w:ascii="Rockwell" w:eastAsia="Arial" w:hAnsi="Rockwell" w:cs="Arial"/>
          <w:sz w:val="24"/>
          <w:szCs w:val="24"/>
        </w:rPr>
        <w:t xml:space="preserve"> remplacement du terme « Personne responsable des marchés publics (PRM) » par le terme « Personne responsable de la commande publique (PRCP) » pour prendre en compte le volet partenariat public-privé ;</w:t>
      </w:r>
    </w:p>
    <w:p w14:paraId="28E9D605" w14:textId="77777777" w:rsidR="00EA1CCD" w:rsidRPr="00B96DAE" w:rsidRDefault="002452CA"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w:t>
      </w:r>
      <w:proofErr w:type="gramEnd"/>
      <w:r w:rsidRPr="00B96DAE">
        <w:rPr>
          <w:rFonts w:ascii="Rockwell" w:eastAsia="Arial" w:hAnsi="Rockwell" w:cs="Arial"/>
          <w:sz w:val="24"/>
          <w:szCs w:val="24"/>
        </w:rPr>
        <w:t xml:space="preserve"> modification de la définition du terme « soumissionnaire » pour supprimer la notion d’acte d’engagement ;</w:t>
      </w:r>
    </w:p>
    <w:p w14:paraId="133EED09" w14:textId="0A31B6AC" w:rsidR="0028358E" w:rsidRPr="00B96DAE" w:rsidRDefault="002452CA"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w:t>
      </w:r>
      <w:proofErr w:type="gramEnd"/>
      <w:r w:rsidRPr="00B96DAE">
        <w:rPr>
          <w:rFonts w:ascii="Rockwell" w:eastAsia="Arial" w:hAnsi="Rockwell" w:cs="Arial"/>
          <w:sz w:val="24"/>
          <w:szCs w:val="24"/>
        </w:rPr>
        <w:t xml:space="preserve"> prise en compte</w:t>
      </w:r>
      <w:r w:rsidR="00EA1CCD" w:rsidRPr="00B96DAE">
        <w:rPr>
          <w:rFonts w:ascii="Rockwell" w:eastAsia="Arial" w:hAnsi="Rockwell" w:cs="Arial"/>
          <w:sz w:val="24"/>
          <w:szCs w:val="24"/>
        </w:rPr>
        <w:t xml:space="preserve"> </w:t>
      </w:r>
      <w:r w:rsidRPr="00B96DAE">
        <w:rPr>
          <w:rFonts w:ascii="Rockwell" w:eastAsia="Arial" w:hAnsi="Rockwell" w:cs="Arial"/>
          <w:sz w:val="24"/>
          <w:szCs w:val="24"/>
        </w:rPr>
        <w:t>de</w:t>
      </w:r>
      <w:r w:rsidR="00EA1CCD" w:rsidRPr="00B96DAE">
        <w:rPr>
          <w:rFonts w:ascii="Rockwell" w:eastAsia="Arial" w:hAnsi="Rockwell" w:cs="Arial"/>
          <w:sz w:val="24"/>
          <w:szCs w:val="24"/>
        </w:rPr>
        <w:t xml:space="preserve"> nouvelles </w:t>
      </w:r>
      <w:r w:rsidRPr="00B96DAE">
        <w:rPr>
          <w:rFonts w:ascii="Rockwell" w:eastAsia="Arial" w:hAnsi="Rockwell" w:cs="Arial"/>
          <w:sz w:val="24"/>
          <w:szCs w:val="24"/>
        </w:rPr>
        <w:t xml:space="preserve">terminologies </w:t>
      </w:r>
      <w:r w:rsidR="00EA1CCD" w:rsidRPr="00B96DAE">
        <w:rPr>
          <w:rFonts w:ascii="Rockwell" w:eastAsia="Arial" w:hAnsi="Rockwell" w:cs="Arial"/>
          <w:sz w:val="24"/>
          <w:szCs w:val="24"/>
        </w:rPr>
        <w:t>notamm</w:t>
      </w:r>
      <w:r w:rsidRPr="00B96DAE">
        <w:rPr>
          <w:rFonts w:ascii="Rockwell" w:eastAsia="Arial" w:hAnsi="Rockwell" w:cs="Arial"/>
          <w:sz w:val="24"/>
          <w:szCs w:val="24"/>
        </w:rPr>
        <w:t>ent</w:t>
      </w:r>
      <w:r w:rsidR="00EA1CCD" w:rsidRPr="00B96DAE">
        <w:rPr>
          <w:rFonts w:ascii="Rockwell" w:eastAsia="Arial" w:hAnsi="Rockwell" w:cs="Arial"/>
          <w:sz w:val="24"/>
          <w:szCs w:val="24"/>
        </w:rPr>
        <w:t xml:space="preserve"> l’a</w:t>
      </w:r>
      <w:r w:rsidRPr="00B96DAE">
        <w:rPr>
          <w:rFonts w:ascii="Rockwell" w:eastAsia="Arial" w:hAnsi="Rockwell" w:cs="Arial"/>
          <w:sz w:val="24"/>
          <w:szCs w:val="24"/>
        </w:rPr>
        <w:t xml:space="preserve">chat public durable, </w:t>
      </w:r>
      <w:r w:rsidR="001F507C">
        <w:rPr>
          <w:rFonts w:ascii="Rockwell" w:eastAsia="Arial" w:hAnsi="Rockwell" w:cs="Arial"/>
          <w:sz w:val="24"/>
          <w:szCs w:val="24"/>
        </w:rPr>
        <w:t xml:space="preserve">la </w:t>
      </w:r>
      <w:r w:rsidR="001F507C" w:rsidRPr="001F507C">
        <w:rPr>
          <w:rFonts w:ascii="Rockwell" w:eastAsia="Arial" w:hAnsi="Rockwell" w:cs="Arial"/>
          <w:sz w:val="24"/>
          <w:szCs w:val="24"/>
        </w:rPr>
        <w:t>force majeure</w:t>
      </w:r>
      <w:r w:rsidR="001F507C">
        <w:rPr>
          <w:rFonts w:ascii="Rockwell" w:eastAsia="Arial" w:hAnsi="Rockwell" w:cs="Arial"/>
          <w:sz w:val="24"/>
          <w:szCs w:val="24"/>
        </w:rPr>
        <w:t xml:space="preserve">, </w:t>
      </w:r>
      <w:r w:rsidR="00EA1CCD" w:rsidRPr="00B96DAE">
        <w:rPr>
          <w:rFonts w:ascii="Rockwell" w:eastAsia="Arial" w:hAnsi="Rockwell" w:cs="Arial"/>
          <w:sz w:val="24"/>
          <w:szCs w:val="24"/>
        </w:rPr>
        <w:t xml:space="preserve">le </w:t>
      </w:r>
      <w:r w:rsidRPr="00B96DAE">
        <w:rPr>
          <w:rFonts w:ascii="Rockwell" w:eastAsia="Arial" w:hAnsi="Rockwell" w:cs="Arial"/>
          <w:sz w:val="24"/>
          <w:szCs w:val="24"/>
        </w:rPr>
        <w:t xml:space="preserve">label, </w:t>
      </w:r>
      <w:r w:rsidR="00EA1CCD" w:rsidRPr="00B96DAE">
        <w:rPr>
          <w:rFonts w:ascii="Rockwell" w:eastAsia="Arial" w:hAnsi="Rockwell" w:cs="Arial"/>
          <w:sz w:val="24"/>
          <w:szCs w:val="24"/>
        </w:rPr>
        <w:t xml:space="preserve">le </w:t>
      </w:r>
      <w:r w:rsidRPr="00B96DAE">
        <w:rPr>
          <w:rFonts w:ascii="Rockwell" w:eastAsia="Arial" w:hAnsi="Rockwell" w:cs="Arial"/>
          <w:sz w:val="24"/>
          <w:szCs w:val="24"/>
        </w:rPr>
        <w:t>marché public à haute intensité de main d’œuvre (HIMO)</w:t>
      </w:r>
      <w:r w:rsidR="00EA1CCD" w:rsidRPr="00B96DAE">
        <w:rPr>
          <w:rFonts w:ascii="Rockwell" w:eastAsia="Arial" w:hAnsi="Rockwell" w:cs="Arial"/>
          <w:sz w:val="24"/>
          <w:szCs w:val="24"/>
        </w:rPr>
        <w:t xml:space="preserve">, le </w:t>
      </w:r>
      <w:r w:rsidRPr="00B96DAE">
        <w:rPr>
          <w:rFonts w:ascii="Rockwell" w:eastAsia="Arial" w:hAnsi="Rockwell" w:cs="Arial"/>
          <w:sz w:val="24"/>
          <w:szCs w:val="24"/>
        </w:rPr>
        <w:t>travail forcé</w:t>
      </w:r>
      <w:r w:rsidR="00EA1CCD" w:rsidRPr="00B96DAE">
        <w:rPr>
          <w:rFonts w:ascii="Rockwell" w:eastAsia="Arial" w:hAnsi="Rockwell" w:cs="Arial"/>
          <w:sz w:val="24"/>
          <w:szCs w:val="24"/>
        </w:rPr>
        <w:t>, l’</w:t>
      </w:r>
      <w:r w:rsidRPr="00B96DAE">
        <w:rPr>
          <w:rFonts w:ascii="Rockwell" w:eastAsia="Arial" w:hAnsi="Rockwell" w:cs="Arial"/>
          <w:sz w:val="24"/>
          <w:szCs w:val="24"/>
        </w:rPr>
        <w:t>offre déséquilibrée</w:t>
      </w:r>
      <w:r w:rsidR="00EA1CCD" w:rsidRPr="00B96DAE">
        <w:rPr>
          <w:rFonts w:ascii="Rockwell" w:eastAsia="Arial" w:hAnsi="Rockwell" w:cs="Arial"/>
          <w:sz w:val="24"/>
          <w:szCs w:val="24"/>
        </w:rPr>
        <w:t xml:space="preserve">, le </w:t>
      </w:r>
      <w:r w:rsidRPr="00B96DAE">
        <w:rPr>
          <w:rFonts w:ascii="Rockwell" w:eastAsia="Arial" w:hAnsi="Rockwell" w:cs="Arial"/>
          <w:sz w:val="24"/>
          <w:szCs w:val="24"/>
        </w:rPr>
        <w:t>principe d’intégrité </w:t>
      </w:r>
      <w:r w:rsidR="00EA1CCD" w:rsidRPr="00B96DAE">
        <w:rPr>
          <w:rFonts w:ascii="Rockwell" w:eastAsia="Arial" w:hAnsi="Rockwell" w:cs="Arial"/>
          <w:sz w:val="24"/>
          <w:szCs w:val="24"/>
        </w:rPr>
        <w:t xml:space="preserve">et le </w:t>
      </w:r>
      <w:proofErr w:type="spellStart"/>
      <w:r w:rsidRPr="00B96DAE">
        <w:rPr>
          <w:rFonts w:ascii="Rockwell" w:eastAsia="Arial" w:hAnsi="Rockwell" w:cs="Arial"/>
          <w:sz w:val="24"/>
          <w:szCs w:val="24"/>
        </w:rPr>
        <w:t>sourcing</w:t>
      </w:r>
      <w:proofErr w:type="spellEnd"/>
      <w:r w:rsidR="00EA1CCD" w:rsidRPr="00B96DAE">
        <w:rPr>
          <w:rFonts w:ascii="Rockwell" w:eastAsia="Arial" w:hAnsi="Rockwell" w:cs="Arial"/>
          <w:sz w:val="24"/>
          <w:szCs w:val="24"/>
        </w:rPr>
        <w:t>.</w:t>
      </w:r>
    </w:p>
    <w:p w14:paraId="1DD2F82C" w14:textId="307305DA" w:rsidR="00653115" w:rsidRPr="00B96DAE" w:rsidRDefault="00653115"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hAnsi="Rockwell"/>
          <w:b/>
          <w:bCs/>
          <w:sz w:val="24"/>
          <w:szCs w:val="24"/>
        </w:rPr>
        <w:t xml:space="preserve">Article 2, point 14 </w:t>
      </w:r>
      <w:r w:rsidRPr="00B96DAE">
        <w:rPr>
          <w:rFonts w:ascii="Rockwell" w:eastAsia="Arial" w:hAnsi="Rockwell" w:cs="Arial"/>
          <w:b/>
          <w:bCs/>
          <w:sz w:val="24"/>
          <w:szCs w:val="24"/>
        </w:rPr>
        <w:t xml:space="preserve">(ancien </w:t>
      </w:r>
      <w:r w:rsidR="00B96DAE" w:rsidRPr="00B96DAE">
        <w:rPr>
          <w:rFonts w:ascii="Rockwell" w:eastAsia="Arial" w:hAnsi="Rockwell" w:cs="Arial"/>
          <w:b/>
          <w:bCs/>
          <w:sz w:val="24"/>
          <w:szCs w:val="24"/>
        </w:rPr>
        <w:t xml:space="preserve">article </w:t>
      </w:r>
      <w:r w:rsidRPr="00B96DAE">
        <w:rPr>
          <w:rFonts w:ascii="Rockwell" w:eastAsia="Arial" w:hAnsi="Rockwell" w:cs="Arial"/>
          <w:b/>
          <w:bCs/>
          <w:sz w:val="24"/>
          <w:szCs w:val="24"/>
        </w:rPr>
        <w:t xml:space="preserve">2 </w:t>
      </w:r>
      <w:r w:rsidRPr="00B96DAE">
        <w:rPr>
          <w:rFonts w:ascii="Rockwell" w:hAnsi="Rockwell"/>
          <w:b/>
          <w:bCs/>
          <w:sz w:val="24"/>
          <w:szCs w:val="24"/>
        </w:rPr>
        <w:t>point</w:t>
      </w:r>
      <w:r w:rsidR="007664FE" w:rsidRPr="00B96DAE">
        <w:rPr>
          <w:rFonts w:ascii="Rockwell" w:hAnsi="Rockwell"/>
          <w:b/>
          <w:bCs/>
          <w:sz w:val="24"/>
          <w:szCs w:val="24"/>
        </w:rPr>
        <w:t xml:space="preserve"> </w:t>
      </w:r>
      <w:r w:rsidRPr="00B96DAE">
        <w:rPr>
          <w:rFonts w:ascii="Rockwell" w:hAnsi="Rockwell"/>
          <w:b/>
          <w:bCs/>
          <w:sz w:val="24"/>
          <w:szCs w:val="24"/>
        </w:rPr>
        <w:t>18</w:t>
      </w:r>
      <w:r w:rsidRPr="00B96DAE">
        <w:rPr>
          <w:rFonts w:ascii="Rockwell" w:eastAsia="Arial" w:hAnsi="Rockwell" w:cs="Arial"/>
          <w:b/>
          <w:bCs/>
          <w:sz w:val="24"/>
          <w:szCs w:val="24"/>
        </w:rPr>
        <w:t>)</w:t>
      </w:r>
      <w:r w:rsidR="007664FE" w:rsidRPr="00B96DAE">
        <w:rPr>
          <w:rFonts w:ascii="Rockwell" w:eastAsia="Arial" w:hAnsi="Rockwell" w:cs="Arial"/>
          <w:b/>
          <w:bCs/>
          <w:sz w:val="24"/>
          <w:szCs w:val="24"/>
        </w:rPr>
        <w:t xml:space="preserve"> </w:t>
      </w:r>
      <w:r w:rsidRPr="00B96DAE">
        <w:rPr>
          <w:rFonts w:ascii="Rockwell" w:hAnsi="Rockwell"/>
          <w:b/>
          <w:bCs/>
          <w:sz w:val="24"/>
          <w:szCs w:val="24"/>
        </w:rPr>
        <w:t>:</w:t>
      </w:r>
      <w:r w:rsidRPr="00B96DAE">
        <w:rPr>
          <w:rFonts w:ascii="Rockwell" w:hAnsi="Rockwell"/>
          <w:sz w:val="24"/>
          <w:szCs w:val="24"/>
        </w:rPr>
        <w:t xml:space="preserve"> une nouvelle définition de la dématérialisation a été </w:t>
      </w:r>
      <w:r w:rsidR="00371D0F" w:rsidRPr="00B96DAE">
        <w:rPr>
          <w:rFonts w:ascii="Rockwell" w:hAnsi="Rockwell"/>
          <w:sz w:val="24"/>
          <w:szCs w:val="24"/>
        </w:rPr>
        <w:t>formulée</w:t>
      </w:r>
      <w:r w:rsidRPr="00B96DAE">
        <w:rPr>
          <w:rFonts w:ascii="Rockwell" w:hAnsi="Rockwell"/>
          <w:sz w:val="24"/>
          <w:szCs w:val="24"/>
        </w:rPr>
        <w:t>.</w:t>
      </w:r>
    </w:p>
    <w:p w14:paraId="1241FAAE" w14:textId="77777777" w:rsidR="00FB237E" w:rsidRPr="00B96DAE" w:rsidRDefault="00FB237E"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hAnsi="Rockwell"/>
          <w:b/>
          <w:bCs/>
          <w:sz w:val="24"/>
          <w:szCs w:val="24"/>
        </w:rPr>
        <w:t xml:space="preserve">Article 3 : </w:t>
      </w:r>
    </w:p>
    <w:p w14:paraId="6DEDE0A2" w14:textId="56452C53" w:rsidR="00FB237E" w:rsidRPr="00B96DAE" w:rsidRDefault="00FB237E"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w:t>
      </w:r>
      <w:proofErr w:type="gramEnd"/>
      <w:r w:rsidRPr="00B96DAE">
        <w:rPr>
          <w:rFonts w:ascii="Rockwell" w:hAnsi="Rockwell"/>
          <w:b/>
          <w:bCs/>
          <w:sz w:val="24"/>
          <w:szCs w:val="24"/>
        </w:rPr>
        <w:t xml:space="preserve"> </w:t>
      </w:r>
      <w:r w:rsidRPr="00B96DAE">
        <w:rPr>
          <w:rFonts w:ascii="Rockwell" w:eastAsia="Arial" w:hAnsi="Rockwell" w:cs="Arial"/>
          <w:sz w:val="24"/>
          <w:szCs w:val="24"/>
        </w:rPr>
        <w:t>prise en compte du principe de l’intégrité ;</w:t>
      </w:r>
    </w:p>
    <w:p w14:paraId="43AB3436" w14:textId="664E30E0" w:rsidR="00FB237E" w:rsidRPr="00B96DAE" w:rsidRDefault="00FB237E"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l’ajout</w:t>
      </w:r>
      <w:proofErr w:type="gramEnd"/>
      <w:r w:rsidRPr="00B96DAE">
        <w:rPr>
          <w:rFonts w:ascii="Rockwell" w:eastAsia="Arial" w:hAnsi="Rockwell" w:cs="Arial"/>
          <w:sz w:val="24"/>
          <w:szCs w:val="24"/>
        </w:rPr>
        <w:t xml:space="preserve"> d’une troisième condition relative à la tutelle technique pour la mise en concurrence des entreprise</w:t>
      </w:r>
      <w:r w:rsidR="00E16354" w:rsidRPr="00B96DAE">
        <w:rPr>
          <w:rFonts w:ascii="Rockwell" w:eastAsia="Arial" w:hAnsi="Rockwell" w:cs="Arial"/>
          <w:sz w:val="24"/>
          <w:szCs w:val="24"/>
        </w:rPr>
        <w:t>s</w:t>
      </w:r>
      <w:r w:rsidRPr="00B96DAE">
        <w:rPr>
          <w:rFonts w:ascii="Rockwell" w:eastAsia="Arial" w:hAnsi="Rockwell" w:cs="Arial"/>
          <w:sz w:val="24"/>
          <w:szCs w:val="24"/>
        </w:rPr>
        <w:t xml:space="preserve"> privé</w:t>
      </w:r>
      <w:r w:rsidR="00E16354" w:rsidRPr="00B96DAE">
        <w:rPr>
          <w:rFonts w:ascii="Rockwell" w:eastAsia="Arial" w:hAnsi="Rockwell" w:cs="Arial"/>
          <w:sz w:val="24"/>
          <w:szCs w:val="24"/>
        </w:rPr>
        <w:t>es</w:t>
      </w:r>
      <w:r w:rsidRPr="00B96DAE">
        <w:rPr>
          <w:rFonts w:ascii="Rockwell" w:eastAsia="Arial" w:hAnsi="Rockwell" w:cs="Arial"/>
          <w:sz w:val="24"/>
          <w:szCs w:val="24"/>
        </w:rPr>
        <w:t xml:space="preserve"> </w:t>
      </w:r>
      <w:r w:rsidR="00E16354" w:rsidRPr="00B96DAE">
        <w:rPr>
          <w:rFonts w:ascii="Rockwell" w:eastAsia="Arial" w:hAnsi="Rockwell" w:cs="Arial"/>
          <w:sz w:val="24"/>
          <w:szCs w:val="24"/>
        </w:rPr>
        <w:t xml:space="preserve">avec </w:t>
      </w:r>
      <w:r w:rsidRPr="00B96DAE">
        <w:rPr>
          <w:rFonts w:ascii="Rockwell" w:eastAsia="Arial" w:hAnsi="Rockwell" w:cs="Arial"/>
          <w:sz w:val="24"/>
          <w:szCs w:val="24"/>
        </w:rPr>
        <w:t>celle</w:t>
      </w:r>
      <w:r w:rsidR="00E16354" w:rsidRPr="00B96DAE">
        <w:rPr>
          <w:rFonts w:ascii="Rockwell" w:eastAsia="Arial" w:hAnsi="Rockwell" w:cs="Arial"/>
          <w:sz w:val="24"/>
          <w:szCs w:val="24"/>
        </w:rPr>
        <w:t>s</w:t>
      </w:r>
      <w:r w:rsidRPr="00B96DAE">
        <w:rPr>
          <w:rFonts w:ascii="Rockwell" w:eastAsia="Arial" w:hAnsi="Rockwell" w:cs="Arial"/>
          <w:sz w:val="24"/>
          <w:szCs w:val="24"/>
        </w:rPr>
        <w:t xml:space="preserve"> publi</w:t>
      </w:r>
      <w:r w:rsidR="00E16354" w:rsidRPr="00B96DAE">
        <w:rPr>
          <w:rFonts w:ascii="Rockwell" w:eastAsia="Arial" w:hAnsi="Rockwell" w:cs="Arial"/>
          <w:sz w:val="24"/>
          <w:szCs w:val="24"/>
        </w:rPr>
        <w:t>ques ;</w:t>
      </w:r>
    </w:p>
    <w:p w14:paraId="6AB49350" w14:textId="6D9BB306" w:rsidR="0028358E" w:rsidRPr="00B96DAE" w:rsidRDefault="00E16354" w:rsidP="00936976">
      <w:pPr>
        <w:pStyle w:val="Paragraphedeliste"/>
        <w:numPr>
          <w:ilvl w:val="0"/>
          <w:numId w:val="45"/>
        </w:numPr>
        <w:spacing w:before="120" w:after="120" w:line="240" w:lineRule="auto"/>
        <w:ind w:left="1418"/>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l’obligation</w:t>
      </w:r>
      <w:proofErr w:type="gramEnd"/>
      <w:r w:rsidRPr="00B96DAE">
        <w:rPr>
          <w:rFonts w:ascii="Rockwell" w:eastAsia="Arial" w:hAnsi="Rockwell" w:cs="Arial"/>
          <w:sz w:val="24"/>
          <w:szCs w:val="24"/>
        </w:rPr>
        <w:t xml:space="preserve"> faite aux autorités contractantes d’intégrer </w:t>
      </w:r>
      <w:r w:rsidRPr="00B96DAE">
        <w:rPr>
          <w:rFonts w:ascii="Rockwell" w:eastAsia="Arial" w:hAnsi="Rockwell" w:cs="Arial"/>
          <w:bCs/>
          <w:iCs/>
          <w:sz w:val="24"/>
          <w:szCs w:val="24"/>
        </w:rPr>
        <w:t>les achats publics durables à toutes les étapes de la commande publique.</w:t>
      </w:r>
    </w:p>
    <w:p w14:paraId="71C6AC51" w14:textId="70182E49" w:rsidR="00E16354" w:rsidRPr="00B96DAE" w:rsidRDefault="007664FE"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hAnsi="Rockwell"/>
          <w:b/>
          <w:bCs/>
          <w:sz w:val="24"/>
          <w:szCs w:val="24"/>
        </w:rPr>
        <w:t>Article 6, point 1, 2</w:t>
      </w:r>
      <w:r w:rsidRPr="00B96DAE">
        <w:rPr>
          <w:rFonts w:ascii="Rockwell" w:hAnsi="Rockwell"/>
          <w:b/>
          <w:bCs/>
          <w:sz w:val="24"/>
          <w:szCs w:val="24"/>
          <w:vertAlign w:val="superscript"/>
        </w:rPr>
        <w:t>ème</w:t>
      </w:r>
      <w:r w:rsidRPr="00B96DAE">
        <w:rPr>
          <w:rFonts w:ascii="Rockwell" w:hAnsi="Rockwell"/>
          <w:b/>
          <w:bCs/>
          <w:sz w:val="24"/>
          <w:szCs w:val="24"/>
        </w:rPr>
        <w:t xml:space="preserve"> alinéa :</w:t>
      </w:r>
      <w:r w:rsidRPr="00B96DAE">
        <w:rPr>
          <w:rFonts w:ascii="Rockwell" w:hAnsi="Rockwell"/>
          <w:sz w:val="24"/>
          <w:szCs w:val="24"/>
        </w:rPr>
        <w:t xml:space="preserve"> la suppression du terme « équipement » pour s’en tenir au type de marché (fournitures, travaux, services courants et prestations intellectuelles). Cela a été appliqué </w:t>
      </w:r>
      <w:r w:rsidR="00043C42" w:rsidRPr="00B96DAE">
        <w:rPr>
          <w:rFonts w:ascii="Rockwell" w:hAnsi="Rockwell"/>
          <w:sz w:val="24"/>
          <w:szCs w:val="24"/>
        </w:rPr>
        <w:t xml:space="preserve">également </w:t>
      </w:r>
      <w:r w:rsidRPr="00B96DAE">
        <w:rPr>
          <w:rFonts w:ascii="Rockwell" w:hAnsi="Rockwell"/>
          <w:sz w:val="24"/>
          <w:szCs w:val="24"/>
        </w:rPr>
        <w:t>aux points (2.b) et (3.b)</w:t>
      </w:r>
      <w:r w:rsidR="00E16354" w:rsidRPr="00B96DAE">
        <w:rPr>
          <w:rFonts w:ascii="Rockwell" w:hAnsi="Rockwell"/>
          <w:sz w:val="24"/>
          <w:szCs w:val="24"/>
        </w:rPr>
        <w:t>.</w:t>
      </w:r>
    </w:p>
    <w:p w14:paraId="08CC318B" w14:textId="77777777" w:rsidR="00F75C6E" w:rsidRPr="00B96DAE" w:rsidRDefault="00E16354"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6 </w:t>
      </w:r>
      <w:r w:rsidRPr="00B96DAE">
        <w:rPr>
          <w:rFonts w:ascii="Rockwell" w:eastAsia="Arial" w:hAnsi="Rockwell" w:cs="Arial"/>
          <w:sz w:val="24"/>
          <w:szCs w:val="24"/>
        </w:rPr>
        <w:t>: le rehaussement des seuils de la demande de cotation</w:t>
      </w:r>
      <w:r w:rsidR="00F75C6E" w:rsidRPr="00B96DAE">
        <w:rPr>
          <w:rFonts w:ascii="Rockwell" w:eastAsia="Arial" w:hAnsi="Rockwell" w:cs="Arial"/>
          <w:sz w:val="24"/>
          <w:szCs w:val="24"/>
        </w:rPr>
        <w:t>s</w:t>
      </w:r>
      <w:r w:rsidRPr="00B96DAE">
        <w:rPr>
          <w:rFonts w:ascii="Rockwell" w:eastAsia="Arial" w:hAnsi="Rockwell" w:cs="Arial"/>
          <w:sz w:val="24"/>
          <w:szCs w:val="24"/>
        </w:rPr>
        <w:t xml:space="preserve">, </w:t>
      </w:r>
      <w:r w:rsidR="00F75C6E" w:rsidRPr="00B96DAE">
        <w:rPr>
          <w:rFonts w:ascii="Rockwell" w:eastAsia="Arial" w:hAnsi="Rockwell" w:cs="Arial"/>
          <w:sz w:val="24"/>
          <w:szCs w:val="24"/>
        </w:rPr>
        <w:t xml:space="preserve">de la </w:t>
      </w:r>
      <w:r w:rsidRPr="00B96DAE">
        <w:rPr>
          <w:rFonts w:ascii="Rockwell" w:eastAsia="Arial" w:hAnsi="Rockwell" w:cs="Arial"/>
          <w:sz w:val="24"/>
          <w:szCs w:val="24"/>
        </w:rPr>
        <w:t>demande de prix</w:t>
      </w:r>
      <w:r w:rsidR="00F75C6E" w:rsidRPr="00B96DAE">
        <w:rPr>
          <w:rFonts w:ascii="Rockwell" w:eastAsia="Arial" w:hAnsi="Rockwell" w:cs="Arial"/>
          <w:sz w:val="24"/>
          <w:szCs w:val="24"/>
        </w:rPr>
        <w:t xml:space="preserve">, de la demande de propositions allégée </w:t>
      </w:r>
      <w:r w:rsidRPr="00B96DAE">
        <w:rPr>
          <w:rFonts w:ascii="Rockwell" w:eastAsia="Arial" w:hAnsi="Rockwell" w:cs="Arial"/>
          <w:sz w:val="24"/>
          <w:szCs w:val="24"/>
        </w:rPr>
        <w:t>et de l’appel d’offres pour toutes les catégories d’autorité contractante</w:t>
      </w:r>
      <w:r w:rsidR="00F75C6E" w:rsidRPr="00B96DAE">
        <w:rPr>
          <w:rFonts w:ascii="Rockwell" w:eastAsia="Arial" w:hAnsi="Rockwell" w:cs="Arial"/>
          <w:sz w:val="24"/>
          <w:szCs w:val="24"/>
        </w:rPr>
        <w:t>.</w:t>
      </w:r>
    </w:p>
    <w:p w14:paraId="7BE1979B" w14:textId="2F121AF4" w:rsidR="00E16354" w:rsidRPr="00B96DAE" w:rsidRDefault="00F75C6E"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9, alinéa 7</w:t>
      </w:r>
      <w:r w:rsidRPr="00B96DAE">
        <w:rPr>
          <w:rFonts w:ascii="Rockwell" w:eastAsia="Arial" w:hAnsi="Rockwell" w:cs="Arial"/>
          <w:sz w:val="24"/>
          <w:szCs w:val="24"/>
        </w:rPr>
        <w:t> : la consécration de la séparation de fonctions de PRCP de toute autre fonction au sein des autorités contractantes ;</w:t>
      </w:r>
    </w:p>
    <w:p w14:paraId="5DE2AE9F" w14:textId="3149C39B" w:rsidR="00F75C6E" w:rsidRPr="00B96DAE" w:rsidRDefault="00024E89"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bCs/>
          <w:sz w:val="24"/>
          <w:szCs w:val="24"/>
        </w:rPr>
        <w:t>Article 1</w:t>
      </w:r>
      <w:r w:rsidR="00921D4E" w:rsidRPr="00B96DAE">
        <w:rPr>
          <w:rFonts w:ascii="Rockwell" w:eastAsia="Arial" w:hAnsi="Rockwell" w:cs="Arial"/>
          <w:b/>
          <w:bCs/>
          <w:sz w:val="24"/>
          <w:szCs w:val="24"/>
        </w:rPr>
        <w:t>1 et 12</w:t>
      </w:r>
      <w:r w:rsidRPr="00B96DAE">
        <w:rPr>
          <w:rFonts w:ascii="Rockwell" w:eastAsia="Arial" w:hAnsi="Rockwell" w:cs="Arial"/>
          <w:b/>
          <w:bCs/>
          <w:sz w:val="24"/>
          <w:szCs w:val="24"/>
        </w:rPr>
        <w:t xml:space="preserve"> :</w:t>
      </w:r>
      <w:r w:rsidRPr="00B96DAE">
        <w:rPr>
          <w:rFonts w:ascii="Rockwell" w:eastAsia="Arial" w:hAnsi="Rockwell" w:cs="Arial"/>
          <w:sz w:val="24"/>
          <w:szCs w:val="24"/>
        </w:rPr>
        <w:t xml:space="preserve"> </w:t>
      </w:r>
      <w:r w:rsidR="00921D4E" w:rsidRPr="00B96DAE">
        <w:rPr>
          <w:rFonts w:ascii="Rockwell" w:eastAsia="Arial" w:hAnsi="Rockwell" w:cs="Arial"/>
          <w:sz w:val="24"/>
          <w:szCs w:val="24"/>
        </w:rPr>
        <w:t>ces</w:t>
      </w:r>
      <w:r w:rsidR="00933FBD" w:rsidRPr="00B96DAE">
        <w:rPr>
          <w:rFonts w:ascii="Rockwell" w:eastAsia="Arial" w:hAnsi="Rockwell" w:cs="Arial"/>
          <w:sz w:val="24"/>
          <w:szCs w:val="24"/>
        </w:rPr>
        <w:t xml:space="preserve"> deux nouveaux articles ont été ajoutés pour </w:t>
      </w:r>
      <w:r w:rsidR="00DA3588" w:rsidRPr="00B96DAE">
        <w:rPr>
          <w:rFonts w:ascii="Rockwell" w:eastAsia="Arial" w:hAnsi="Rockwell" w:cs="Arial"/>
          <w:sz w:val="24"/>
          <w:szCs w:val="24"/>
        </w:rPr>
        <w:t>définir</w:t>
      </w:r>
      <w:r w:rsidR="00933FBD" w:rsidRPr="00B96DAE">
        <w:rPr>
          <w:rFonts w:ascii="Rockwell" w:eastAsia="Arial" w:hAnsi="Rockwell" w:cs="Arial"/>
          <w:sz w:val="24"/>
          <w:szCs w:val="24"/>
        </w:rPr>
        <w:t xml:space="preserve"> le profil de la PRM pour les collectivités territoriales et celui de la PRM pour </w:t>
      </w:r>
      <w:r w:rsidR="00B75881" w:rsidRPr="00B96DAE">
        <w:rPr>
          <w:rFonts w:ascii="Rockwell" w:eastAsia="Arial" w:hAnsi="Rockwell" w:cs="Arial"/>
          <w:sz w:val="24"/>
          <w:szCs w:val="24"/>
        </w:rPr>
        <w:t>les autres catégories</w:t>
      </w:r>
      <w:r w:rsidR="00DA3588" w:rsidRPr="00B96DAE">
        <w:rPr>
          <w:rFonts w:ascii="Rockwell" w:eastAsia="Arial" w:hAnsi="Rockwell" w:cs="Arial"/>
          <w:sz w:val="24"/>
          <w:szCs w:val="24"/>
        </w:rPr>
        <w:t xml:space="preserve"> d’autorité</w:t>
      </w:r>
      <w:r w:rsidR="00B75881" w:rsidRPr="00B96DAE">
        <w:rPr>
          <w:rFonts w:ascii="Rockwell" w:eastAsia="Arial" w:hAnsi="Rockwell" w:cs="Arial"/>
          <w:sz w:val="24"/>
          <w:szCs w:val="24"/>
        </w:rPr>
        <w:t>s</w:t>
      </w:r>
      <w:r w:rsidR="00DA3588" w:rsidRPr="00B96DAE">
        <w:rPr>
          <w:rFonts w:ascii="Rockwell" w:eastAsia="Arial" w:hAnsi="Rockwell" w:cs="Arial"/>
          <w:sz w:val="24"/>
          <w:szCs w:val="24"/>
        </w:rPr>
        <w:t xml:space="preserve"> contractantes.</w:t>
      </w:r>
      <w:r w:rsidR="00921D4E" w:rsidRPr="00B96DAE">
        <w:rPr>
          <w:rFonts w:ascii="Rockwell" w:eastAsia="Arial" w:hAnsi="Rockwell" w:cs="Arial"/>
          <w:sz w:val="24"/>
          <w:szCs w:val="24"/>
        </w:rPr>
        <w:t xml:space="preserve"> </w:t>
      </w:r>
      <w:r w:rsidR="00B75881" w:rsidRPr="00B96DAE">
        <w:rPr>
          <w:rFonts w:ascii="Rockwell" w:eastAsia="Arial" w:hAnsi="Rockwell" w:cs="Arial"/>
          <w:sz w:val="24"/>
          <w:szCs w:val="24"/>
        </w:rPr>
        <w:t>En ce qui concerne les modalités de définition du profil de la PRM, i</w:t>
      </w:r>
      <w:r w:rsidR="00DA3588" w:rsidRPr="00B96DAE">
        <w:rPr>
          <w:rFonts w:ascii="Rockwell" w:eastAsia="Arial" w:hAnsi="Rockwell" w:cs="Arial"/>
          <w:sz w:val="24"/>
          <w:szCs w:val="24"/>
        </w:rPr>
        <w:t xml:space="preserve">l y a eu deux positions. Certains ont </w:t>
      </w:r>
      <w:r w:rsidR="00DA3588" w:rsidRPr="00B96DAE">
        <w:rPr>
          <w:rFonts w:ascii="Rockwell" w:eastAsia="Arial" w:hAnsi="Rockwell" w:cs="Arial"/>
          <w:sz w:val="24"/>
          <w:szCs w:val="24"/>
        </w:rPr>
        <w:lastRenderedPageBreak/>
        <w:t>souhaité que le profil de la PRM soit d</w:t>
      </w:r>
      <w:r w:rsidR="00B75881" w:rsidRPr="00B96DAE">
        <w:rPr>
          <w:rFonts w:ascii="Rockwell" w:eastAsia="Arial" w:hAnsi="Rockwell" w:cs="Arial"/>
          <w:sz w:val="24"/>
          <w:szCs w:val="24"/>
        </w:rPr>
        <w:t>é</w:t>
      </w:r>
      <w:r w:rsidR="00DA3588" w:rsidRPr="00B96DAE">
        <w:rPr>
          <w:rFonts w:ascii="Rockwell" w:eastAsia="Arial" w:hAnsi="Rockwell" w:cs="Arial"/>
          <w:sz w:val="24"/>
          <w:szCs w:val="24"/>
        </w:rPr>
        <w:t xml:space="preserve">fini dans un arrêté qui </w:t>
      </w:r>
      <w:r w:rsidR="002F5EB6" w:rsidRPr="00B96DAE">
        <w:rPr>
          <w:rFonts w:ascii="Rockwell" w:eastAsia="Arial" w:hAnsi="Rockwell" w:cs="Arial"/>
          <w:sz w:val="24"/>
          <w:szCs w:val="24"/>
        </w:rPr>
        <w:t xml:space="preserve">est </w:t>
      </w:r>
      <w:r w:rsidR="00DA3588" w:rsidRPr="00B96DAE">
        <w:rPr>
          <w:rFonts w:ascii="Rockwell" w:eastAsia="Arial" w:hAnsi="Rockwell" w:cs="Arial"/>
          <w:sz w:val="24"/>
          <w:szCs w:val="24"/>
        </w:rPr>
        <w:t xml:space="preserve">plus flexible à modifier </w:t>
      </w:r>
      <w:r w:rsidR="00B75881" w:rsidRPr="00B96DAE">
        <w:rPr>
          <w:rFonts w:ascii="Rockwell" w:eastAsia="Arial" w:hAnsi="Rockwell" w:cs="Arial"/>
          <w:sz w:val="24"/>
          <w:szCs w:val="24"/>
        </w:rPr>
        <w:t>en cas d’adaptation. D’autres estiment que le profit de la PRM doit être dans le décret afin de lui conférer plus de force.</w:t>
      </w:r>
      <w:r w:rsidR="00866533">
        <w:rPr>
          <w:rFonts w:ascii="Rockwell" w:eastAsia="Arial" w:hAnsi="Rockwell" w:cs="Arial"/>
          <w:sz w:val="24"/>
          <w:szCs w:val="24"/>
        </w:rPr>
        <w:t xml:space="preserve"> Aussi, </w:t>
      </w:r>
      <w:r w:rsidR="00866533" w:rsidRPr="00866533">
        <w:rPr>
          <w:rFonts w:ascii="Rockwell" w:eastAsia="Arial" w:hAnsi="Rockwell" w:cs="Arial"/>
          <w:sz w:val="24"/>
          <w:szCs w:val="24"/>
        </w:rPr>
        <w:t>la fixation du rang de la PRM au même rang que le gestionnaire de crédits</w:t>
      </w:r>
      <w:r w:rsidR="00866533">
        <w:rPr>
          <w:rFonts w:ascii="Rockwell" w:eastAsia="Arial" w:hAnsi="Rockwell" w:cs="Arial"/>
          <w:sz w:val="24"/>
          <w:szCs w:val="24"/>
        </w:rPr>
        <w:t xml:space="preserve"> de l’autorité contractante.</w:t>
      </w:r>
    </w:p>
    <w:p w14:paraId="4AB8EF2A" w14:textId="06B60C6F" w:rsidR="00F75C6E" w:rsidRPr="00B96DAE" w:rsidRDefault="00F75C6E"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w:t>
      </w:r>
      <w:r w:rsidR="0057210A" w:rsidRPr="00B96DAE">
        <w:rPr>
          <w:rFonts w:ascii="Rockwell" w:eastAsia="Arial" w:hAnsi="Rockwell" w:cs="Arial"/>
          <w:b/>
          <w:sz w:val="24"/>
          <w:szCs w:val="24"/>
        </w:rPr>
        <w:t>2</w:t>
      </w:r>
      <w:r w:rsidRPr="00B96DAE">
        <w:rPr>
          <w:rFonts w:ascii="Rockwell" w:eastAsia="Arial" w:hAnsi="Rockwell" w:cs="Arial"/>
          <w:b/>
          <w:sz w:val="24"/>
          <w:szCs w:val="24"/>
        </w:rPr>
        <w:t> (</w:t>
      </w:r>
      <w:r w:rsidR="00B96DAE">
        <w:rPr>
          <w:rFonts w:ascii="Rockwell" w:eastAsia="Arial" w:hAnsi="Rockwell" w:cs="Arial"/>
          <w:b/>
          <w:bCs/>
          <w:sz w:val="24"/>
          <w:szCs w:val="24"/>
        </w:rPr>
        <w:t>ancien article</w:t>
      </w:r>
      <w:r w:rsidR="0057210A" w:rsidRPr="00B96DAE">
        <w:rPr>
          <w:rFonts w:ascii="Rockwell" w:eastAsia="Arial" w:hAnsi="Rockwell" w:cs="Arial"/>
          <w:b/>
          <w:sz w:val="24"/>
          <w:szCs w:val="24"/>
        </w:rPr>
        <w:t xml:space="preserve"> </w:t>
      </w:r>
      <w:r w:rsidRPr="00B96DAE">
        <w:rPr>
          <w:rFonts w:ascii="Rockwell" w:eastAsia="Arial" w:hAnsi="Rockwell" w:cs="Arial"/>
          <w:b/>
          <w:sz w:val="24"/>
          <w:szCs w:val="24"/>
        </w:rPr>
        <w:t>20) :</w:t>
      </w:r>
      <w:r w:rsidRPr="00B96DAE">
        <w:rPr>
          <w:rFonts w:ascii="Rockwell" w:eastAsia="Arial" w:hAnsi="Rockwell" w:cs="Arial"/>
          <w:sz w:val="24"/>
          <w:szCs w:val="24"/>
        </w:rPr>
        <w:t xml:space="preserve"> l’ajout d’un alinéa pour confier la présidence </w:t>
      </w:r>
      <w:proofErr w:type="gramStart"/>
      <w:r w:rsidRPr="00B96DAE">
        <w:rPr>
          <w:rFonts w:ascii="Rockwell" w:eastAsia="Arial" w:hAnsi="Rockwell" w:cs="Arial"/>
          <w:sz w:val="24"/>
          <w:szCs w:val="24"/>
        </w:rPr>
        <w:t>de</w:t>
      </w:r>
      <w:proofErr w:type="gramEnd"/>
      <w:r w:rsidRPr="00B96DAE">
        <w:rPr>
          <w:rFonts w:ascii="Rockwell" w:eastAsia="Arial" w:hAnsi="Rockwell" w:cs="Arial"/>
          <w:sz w:val="24"/>
          <w:szCs w:val="24"/>
        </w:rPr>
        <w:t xml:space="preserve"> la CAM à la PRCP au sein des </w:t>
      </w:r>
      <w:r w:rsidR="0057210A" w:rsidRPr="00B96DAE">
        <w:rPr>
          <w:rFonts w:ascii="Rockwell" w:eastAsia="Arial" w:hAnsi="Rockwell" w:cs="Arial"/>
          <w:sz w:val="24"/>
          <w:szCs w:val="24"/>
        </w:rPr>
        <w:t>sociétés d’Etat</w:t>
      </w:r>
      <w:r w:rsidRPr="00B96DAE">
        <w:rPr>
          <w:rFonts w:ascii="Rockwell" w:eastAsia="Arial" w:hAnsi="Rockwell" w:cs="Arial"/>
          <w:sz w:val="24"/>
          <w:szCs w:val="24"/>
        </w:rPr>
        <w:t xml:space="preserve">. </w:t>
      </w:r>
      <w:r w:rsidR="0057210A" w:rsidRPr="00B96DAE">
        <w:rPr>
          <w:rFonts w:ascii="Rockwell" w:eastAsia="Arial" w:hAnsi="Rockwell" w:cs="Arial"/>
          <w:sz w:val="24"/>
          <w:szCs w:val="24"/>
        </w:rPr>
        <w:t>Aussi, l</w:t>
      </w:r>
      <w:r w:rsidRPr="00B96DAE">
        <w:rPr>
          <w:rFonts w:ascii="Rockwell" w:eastAsia="Arial" w:hAnsi="Rockwell" w:cs="Arial"/>
          <w:sz w:val="24"/>
          <w:szCs w:val="24"/>
        </w:rPr>
        <w:t>a structure en charge du contrôle y a également été prise en compte en tant qu’observateur</w:t>
      </w:r>
      <w:r w:rsidR="0057210A" w:rsidRPr="00B96DAE">
        <w:rPr>
          <w:rFonts w:ascii="Rockwell" w:eastAsia="Arial" w:hAnsi="Rockwell" w:cs="Arial"/>
          <w:sz w:val="24"/>
          <w:szCs w:val="24"/>
        </w:rPr>
        <w:t>.</w:t>
      </w:r>
    </w:p>
    <w:p w14:paraId="5EAF823A" w14:textId="6AA816A9" w:rsidR="005D4036" w:rsidRPr="00B96DAE" w:rsidRDefault="0057210A"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23</w:t>
      </w:r>
      <w:r w:rsidRPr="00B96DAE">
        <w:rPr>
          <w:rFonts w:ascii="Rockwell" w:eastAsia="Arial" w:hAnsi="Rockwell" w:cs="Arial"/>
          <w:sz w:val="24"/>
          <w:szCs w:val="24"/>
        </w:rPr>
        <w:t xml:space="preserve"> : la précision </w:t>
      </w:r>
      <w:r w:rsidR="00732C20" w:rsidRPr="00B96DAE">
        <w:rPr>
          <w:rFonts w:ascii="Rockwell" w:eastAsia="Arial" w:hAnsi="Rockwell" w:cs="Arial"/>
          <w:sz w:val="24"/>
          <w:szCs w:val="24"/>
        </w:rPr>
        <w:t xml:space="preserve">de la composition </w:t>
      </w:r>
      <w:r w:rsidRPr="00B96DAE">
        <w:rPr>
          <w:rFonts w:ascii="Rockwell" w:eastAsia="Arial" w:hAnsi="Rockwell" w:cs="Arial"/>
          <w:sz w:val="24"/>
          <w:szCs w:val="24"/>
        </w:rPr>
        <w:t>d</w:t>
      </w:r>
      <w:r w:rsidR="00732C20" w:rsidRPr="00B96DAE">
        <w:rPr>
          <w:rFonts w:ascii="Rockwell" w:eastAsia="Arial" w:hAnsi="Rockwell" w:cs="Arial"/>
          <w:sz w:val="24"/>
          <w:szCs w:val="24"/>
        </w:rPr>
        <w:t>u comité restreint chargée de l’ouverture des plis, de l’évaluation des offres et de la proposition d’attribution pour les procédures de consultation de consultants et de demande de cotations.</w:t>
      </w:r>
    </w:p>
    <w:p w14:paraId="4D7A4169" w14:textId="23B642A7" w:rsidR="008810F9" w:rsidRPr="00B96DAE" w:rsidRDefault="008810F9"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24</w:t>
      </w:r>
      <w:r w:rsidRPr="00B96DAE">
        <w:rPr>
          <w:rFonts w:ascii="Rockwell" w:eastAsia="Arial" w:hAnsi="Rockwell" w:cs="Arial"/>
          <w:sz w:val="24"/>
          <w:szCs w:val="24"/>
        </w:rPr>
        <w:t> : la précision que l’autorité d’approbation (l’ordonnateur du budget concerné) soit distincte de celle qui signe le marché public qui est</w:t>
      </w:r>
      <w:r w:rsidR="004E3CB8" w:rsidRPr="00B96DAE">
        <w:rPr>
          <w:rFonts w:ascii="Rockwell" w:eastAsia="Arial" w:hAnsi="Rockwell" w:cs="Arial"/>
          <w:sz w:val="24"/>
          <w:szCs w:val="24"/>
        </w:rPr>
        <w:t xml:space="preserve"> </w:t>
      </w:r>
      <w:r w:rsidRPr="00B96DAE">
        <w:rPr>
          <w:rFonts w:ascii="Rockwell" w:eastAsia="Arial" w:hAnsi="Rockwell" w:cs="Arial"/>
          <w:sz w:val="24"/>
          <w:szCs w:val="24"/>
        </w:rPr>
        <w:t>le représentant de l’autorité contractante.</w:t>
      </w:r>
    </w:p>
    <w:p w14:paraId="5C7F09FA" w14:textId="57AFE1B5" w:rsidR="005D4036" w:rsidRPr="00B96DAE" w:rsidRDefault="005D4036"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26, 27, 28 et 29 </w:t>
      </w:r>
      <w:r w:rsidRPr="00B96DAE">
        <w:rPr>
          <w:rFonts w:ascii="Rockwell" w:eastAsia="Arial" w:hAnsi="Rockwell" w:cs="Arial"/>
          <w:sz w:val="24"/>
          <w:szCs w:val="24"/>
        </w:rPr>
        <w:t>(</w:t>
      </w:r>
      <w:r w:rsidR="003F3D17" w:rsidRPr="00B96DAE">
        <w:rPr>
          <w:rFonts w:ascii="Rockwell" w:eastAsia="Arial" w:hAnsi="Rockwell" w:cs="Arial"/>
          <w:b/>
          <w:sz w:val="24"/>
          <w:szCs w:val="24"/>
        </w:rPr>
        <w:t xml:space="preserve">anciens articles </w:t>
      </w:r>
      <w:r w:rsidRPr="00B96DAE">
        <w:rPr>
          <w:rFonts w:ascii="Rockwell" w:eastAsia="Arial" w:hAnsi="Rockwell" w:cs="Arial"/>
          <w:b/>
          <w:sz w:val="24"/>
          <w:szCs w:val="24"/>
        </w:rPr>
        <w:t>23 à 25)</w:t>
      </w:r>
      <w:r w:rsidRPr="00B96DAE">
        <w:rPr>
          <w:rFonts w:ascii="Rockwell" w:eastAsia="Arial" w:hAnsi="Rockwell" w:cs="Arial"/>
          <w:sz w:val="24"/>
          <w:szCs w:val="24"/>
        </w:rPr>
        <w:t xml:space="preserve"> : la prise en compte des structures en charge de la liquidation des dépenses au niveau de l’Etat, des établissements publics de l’Etat, </w:t>
      </w:r>
      <w:r w:rsidR="00553785" w:rsidRPr="00B96DAE">
        <w:rPr>
          <w:rFonts w:ascii="Rockwell" w:eastAsia="Arial" w:hAnsi="Rockwell" w:cs="Arial"/>
          <w:sz w:val="24"/>
          <w:szCs w:val="24"/>
        </w:rPr>
        <w:t xml:space="preserve">des structures décentralisées, </w:t>
      </w:r>
      <w:r w:rsidRPr="00B96DAE">
        <w:rPr>
          <w:rFonts w:ascii="Rockwell" w:eastAsia="Arial" w:hAnsi="Rockwell" w:cs="Arial"/>
          <w:sz w:val="24"/>
          <w:szCs w:val="24"/>
        </w:rPr>
        <w:t>des EPE et des sociétés d’Etat, dans les commissions de réception.</w:t>
      </w:r>
      <w:r w:rsidR="00553785" w:rsidRPr="00B96DAE">
        <w:rPr>
          <w:rFonts w:ascii="Rockwell" w:eastAsia="Arial" w:hAnsi="Rockwell" w:cs="Arial"/>
          <w:sz w:val="24"/>
          <w:szCs w:val="24"/>
        </w:rPr>
        <w:t xml:space="preserve"> </w:t>
      </w:r>
      <w:r w:rsidRPr="00B96DAE">
        <w:rPr>
          <w:rFonts w:ascii="Rockwell" w:eastAsia="Arial" w:hAnsi="Rockwell" w:cs="Arial"/>
          <w:sz w:val="24"/>
          <w:szCs w:val="24"/>
        </w:rPr>
        <w:t xml:space="preserve">Il a par ailleurs été supprimé desdites commissions, le comptable des matières ou le chargé du patrimoine et le service chargé de la gestion du matériel, compte tenu du fait qu’aux termes de la règlementation régissant la comptabilité des matières, leurs missions ne démarrent qu’après l’entrée </w:t>
      </w:r>
      <w:r w:rsidR="00553785" w:rsidRPr="00B96DAE">
        <w:rPr>
          <w:rFonts w:ascii="Rockwell" w:eastAsia="Arial" w:hAnsi="Rockwell" w:cs="Arial"/>
          <w:sz w:val="24"/>
          <w:szCs w:val="24"/>
        </w:rPr>
        <w:t>du bien dans le patrimoine.</w:t>
      </w:r>
    </w:p>
    <w:p w14:paraId="3E5F954B" w14:textId="78D5959A" w:rsidR="00A83E6B" w:rsidRDefault="00732C20"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3</w:t>
      </w:r>
      <w:r w:rsidR="00C73627" w:rsidRPr="00B96DAE">
        <w:rPr>
          <w:rFonts w:ascii="Rockwell" w:eastAsia="Arial" w:hAnsi="Rockwell" w:cs="Arial"/>
          <w:b/>
          <w:color w:val="000000" w:themeColor="text1"/>
          <w:sz w:val="24"/>
          <w:szCs w:val="24"/>
        </w:rPr>
        <w:t>1</w:t>
      </w:r>
      <w:r w:rsidRPr="00B96DAE">
        <w:rPr>
          <w:rFonts w:ascii="Rockwell" w:eastAsia="Arial" w:hAnsi="Rockwell" w:cs="Arial"/>
          <w:b/>
          <w:sz w:val="24"/>
          <w:szCs w:val="24"/>
        </w:rPr>
        <w:t xml:space="preserve"> (</w:t>
      </w:r>
      <w:r w:rsidR="00C73627" w:rsidRPr="00B96DAE">
        <w:rPr>
          <w:rFonts w:ascii="Rockwell" w:eastAsia="Arial" w:hAnsi="Rockwell" w:cs="Arial"/>
          <w:b/>
          <w:sz w:val="24"/>
          <w:szCs w:val="24"/>
        </w:rPr>
        <w:t xml:space="preserve">ancien </w:t>
      </w:r>
      <w:r w:rsidR="003F3D17" w:rsidRPr="00B96DAE">
        <w:rPr>
          <w:rFonts w:ascii="Rockwell" w:eastAsia="Arial" w:hAnsi="Rockwell" w:cs="Arial"/>
          <w:b/>
          <w:sz w:val="24"/>
          <w:szCs w:val="24"/>
        </w:rPr>
        <w:t xml:space="preserve">article </w:t>
      </w:r>
      <w:r w:rsidRPr="00B96DAE">
        <w:rPr>
          <w:rFonts w:ascii="Rockwell" w:eastAsia="Arial" w:hAnsi="Rockwell" w:cs="Arial"/>
          <w:b/>
          <w:sz w:val="24"/>
          <w:szCs w:val="24"/>
        </w:rPr>
        <w:t>26)</w:t>
      </w:r>
      <w:r w:rsidRPr="00B96DAE">
        <w:rPr>
          <w:rFonts w:ascii="Rockwell" w:eastAsia="Arial" w:hAnsi="Rockwell" w:cs="Arial"/>
          <w:sz w:val="24"/>
          <w:szCs w:val="24"/>
        </w:rPr>
        <w:t> : la précision de la composition minimale du comité de validation des rapports pour les prestations intellectuelles</w:t>
      </w:r>
      <w:r w:rsidR="00C73627" w:rsidRPr="00B96DAE">
        <w:rPr>
          <w:rFonts w:ascii="Rockwell" w:eastAsia="Arial" w:hAnsi="Rockwell" w:cs="Arial"/>
          <w:sz w:val="24"/>
          <w:szCs w:val="24"/>
        </w:rPr>
        <w:t>.</w:t>
      </w:r>
    </w:p>
    <w:p w14:paraId="34D9293C" w14:textId="13A855CD" w:rsidR="00A83E6B" w:rsidRDefault="00A83E6B"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A83E6B">
        <w:rPr>
          <w:rFonts w:ascii="Rockwell" w:eastAsia="Arial" w:hAnsi="Rockwell" w:cs="Arial"/>
          <w:b/>
          <w:bCs/>
          <w:sz w:val="24"/>
          <w:szCs w:val="24"/>
        </w:rPr>
        <w:t>Article 3</w:t>
      </w:r>
      <w:r w:rsidR="000E04D6">
        <w:rPr>
          <w:rFonts w:ascii="Rockwell" w:eastAsia="Arial" w:hAnsi="Rockwell" w:cs="Arial"/>
          <w:b/>
          <w:bCs/>
          <w:sz w:val="24"/>
          <w:szCs w:val="24"/>
        </w:rPr>
        <w:t>5</w:t>
      </w:r>
      <w:r w:rsidRPr="00A83E6B">
        <w:rPr>
          <w:rFonts w:ascii="Rockwell" w:eastAsia="Arial" w:hAnsi="Rockwell" w:cs="Arial"/>
          <w:b/>
          <w:bCs/>
          <w:sz w:val="24"/>
          <w:szCs w:val="24"/>
        </w:rPr>
        <w:t> :</w:t>
      </w:r>
      <w:r w:rsidRPr="00A83E6B">
        <w:rPr>
          <w:rFonts w:ascii="Rockwell" w:eastAsia="Arial" w:hAnsi="Rockwell" w:cs="Arial"/>
          <w:sz w:val="24"/>
          <w:szCs w:val="24"/>
        </w:rPr>
        <w:t xml:space="preserve"> </w:t>
      </w:r>
      <w:r>
        <w:rPr>
          <w:rFonts w:ascii="Rockwell" w:eastAsia="Arial" w:hAnsi="Rockwell" w:cs="Arial"/>
          <w:sz w:val="24"/>
          <w:szCs w:val="24"/>
        </w:rPr>
        <w:t xml:space="preserve">l’obligation de requérir l’avis de la DG-CMEF sur </w:t>
      </w:r>
      <w:r w:rsidR="000E04D6">
        <w:rPr>
          <w:rFonts w:ascii="Rockwell" w:eastAsia="Arial" w:hAnsi="Rockwell" w:cs="Arial"/>
          <w:sz w:val="24"/>
          <w:szCs w:val="24"/>
        </w:rPr>
        <w:t>les avenants</w:t>
      </w:r>
      <w:r>
        <w:rPr>
          <w:rFonts w:ascii="Rockwell" w:eastAsia="Arial" w:hAnsi="Rockwell" w:cs="Arial"/>
          <w:sz w:val="24"/>
          <w:szCs w:val="24"/>
        </w:rPr>
        <w:t xml:space="preserve"> pour toute</w:t>
      </w:r>
      <w:r w:rsidRPr="00A83E6B">
        <w:rPr>
          <w:rFonts w:ascii="Rockwell" w:eastAsia="Arial" w:hAnsi="Rockwell" w:cs="Arial"/>
          <w:sz w:val="24"/>
          <w:szCs w:val="24"/>
        </w:rPr>
        <w:t xml:space="preserve"> source de financement</w:t>
      </w:r>
      <w:r>
        <w:rPr>
          <w:rFonts w:ascii="Rockwell" w:eastAsia="Arial" w:hAnsi="Rockwell" w:cs="Arial"/>
          <w:sz w:val="24"/>
          <w:szCs w:val="24"/>
        </w:rPr>
        <w:t>.</w:t>
      </w:r>
    </w:p>
    <w:p w14:paraId="3F3B6BB7" w14:textId="74AA31D6" w:rsidR="00A83E6B" w:rsidRPr="00A83E6B" w:rsidRDefault="00A83E6B"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A83E6B">
        <w:rPr>
          <w:rFonts w:ascii="Rockwell" w:eastAsia="Arial" w:hAnsi="Rockwell" w:cs="Arial"/>
          <w:b/>
          <w:bCs/>
          <w:sz w:val="24"/>
          <w:szCs w:val="24"/>
        </w:rPr>
        <w:t>Article 37 :</w:t>
      </w:r>
      <w:r w:rsidRPr="00A83E6B">
        <w:rPr>
          <w:rFonts w:ascii="Rockwell" w:eastAsia="Arial" w:hAnsi="Rockwell" w:cs="Arial"/>
          <w:sz w:val="24"/>
          <w:szCs w:val="24"/>
        </w:rPr>
        <w:t xml:space="preserve"> en vue de capitaliser le décret modification </w:t>
      </w:r>
      <w:r>
        <w:rPr>
          <w:rFonts w:ascii="Rockwell" w:eastAsia="Arial" w:hAnsi="Rockwell" w:cs="Arial"/>
          <w:sz w:val="24"/>
          <w:szCs w:val="24"/>
        </w:rPr>
        <w:t xml:space="preserve">de 2023 </w:t>
      </w:r>
      <w:r w:rsidRPr="00A83E6B">
        <w:rPr>
          <w:rFonts w:ascii="Rockwell" w:eastAsia="Arial" w:hAnsi="Rockwell" w:cs="Arial"/>
          <w:sz w:val="24"/>
          <w:szCs w:val="24"/>
        </w:rPr>
        <w:t>du décret 049 de 2023, un alinéa a été ajouté afin que l’ARCOP procède régulièrement à l’évaluation de la performance des acteurs et soumet un rapport au Conseil des Ministres</w:t>
      </w:r>
      <w:r>
        <w:rPr>
          <w:rFonts w:ascii="Rockwell" w:eastAsia="Arial" w:hAnsi="Rockwell" w:cs="Arial"/>
          <w:sz w:val="24"/>
          <w:szCs w:val="24"/>
        </w:rPr>
        <w:t>.</w:t>
      </w:r>
    </w:p>
    <w:p w14:paraId="4091CDAD" w14:textId="6B55EA43" w:rsidR="00BC6EF1" w:rsidRDefault="00C73627"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38 </w:t>
      </w:r>
      <w:r w:rsidRPr="00B96DAE">
        <w:rPr>
          <w:rFonts w:ascii="Rockwell" w:eastAsia="Arial" w:hAnsi="Rockwell" w:cs="Arial"/>
          <w:sz w:val="24"/>
          <w:szCs w:val="24"/>
        </w:rPr>
        <w:t>: le rehaussement des délais de traitement des différents acteurs du système.</w:t>
      </w:r>
    </w:p>
    <w:p w14:paraId="5A08F011" w14:textId="6D188D36" w:rsidR="00866533" w:rsidRPr="00B96DAE" w:rsidRDefault="00866533"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w:t>
      </w:r>
      <w:r>
        <w:rPr>
          <w:rFonts w:ascii="Rockwell" w:eastAsia="Arial" w:hAnsi="Rockwell" w:cs="Arial"/>
          <w:b/>
          <w:sz w:val="24"/>
          <w:szCs w:val="24"/>
        </w:rPr>
        <w:t>40</w:t>
      </w:r>
      <w:r w:rsidRPr="00B96DAE">
        <w:rPr>
          <w:rFonts w:ascii="Rockwell" w:eastAsia="Arial" w:hAnsi="Rockwell" w:cs="Arial"/>
          <w:b/>
          <w:sz w:val="24"/>
          <w:szCs w:val="24"/>
        </w:rPr>
        <w:t xml:space="preserve"> </w:t>
      </w:r>
      <w:r w:rsidRPr="00B96DAE">
        <w:rPr>
          <w:rFonts w:ascii="Rockwell" w:eastAsia="Arial" w:hAnsi="Rockwell" w:cs="Arial"/>
          <w:sz w:val="24"/>
          <w:szCs w:val="24"/>
        </w:rPr>
        <w:t xml:space="preserve">: </w:t>
      </w:r>
      <w:r>
        <w:rPr>
          <w:rFonts w:ascii="Rockwell" w:eastAsia="Arial" w:hAnsi="Rockwell" w:cs="Arial"/>
          <w:sz w:val="24"/>
          <w:szCs w:val="24"/>
        </w:rPr>
        <w:t>en vue d</w:t>
      </w:r>
      <w:r w:rsidRPr="00866533">
        <w:rPr>
          <w:rFonts w:ascii="Rockwell" w:eastAsia="Arial" w:hAnsi="Rockwell" w:cs="Arial"/>
          <w:sz w:val="24"/>
          <w:szCs w:val="24"/>
        </w:rPr>
        <w:t>’incitation à la participation des entreprises burkinabè au marchés publics, les marchés financés sur le budget propre des autorités contractantes leur sont réservés. Cependant, les entreprises communautaires sont également prises en compte dans cette réservation en vue de conformer aux textes communautaires</w:t>
      </w:r>
      <w:r>
        <w:rPr>
          <w:rFonts w:ascii="Rockwell" w:eastAsia="Arial" w:hAnsi="Rockwell" w:cs="Arial"/>
          <w:sz w:val="24"/>
          <w:szCs w:val="24"/>
        </w:rPr>
        <w:t>.</w:t>
      </w:r>
    </w:p>
    <w:p w14:paraId="512C9C2E" w14:textId="59BB3329" w:rsidR="00BC6EF1" w:rsidRPr="00B96DAE" w:rsidRDefault="00BC6EF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42 </w:t>
      </w:r>
      <w:r w:rsidRPr="00B96DAE">
        <w:rPr>
          <w:rFonts w:ascii="Rockwell" w:eastAsia="Arial" w:hAnsi="Rockwell" w:cs="Arial"/>
          <w:sz w:val="24"/>
          <w:szCs w:val="24"/>
        </w:rPr>
        <w:t>(</w:t>
      </w:r>
      <w:r w:rsidR="003F3D17" w:rsidRPr="00B96DAE">
        <w:rPr>
          <w:rFonts w:ascii="Rockwell" w:eastAsia="Arial" w:hAnsi="Rockwell" w:cs="Arial"/>
          <w:b/>
          <w:sz w:val="24"/>
          <w:szCs w:val="24"/>
        </w:rPr>
        <w:t>ancien article</w:t>
      </w:r>
      <w:r w:rsidRPr="00B96DAE">
        <w:rPr>
          <w:rFonts w:ascii="Rockwell" w:eastAsia="Arial" w:hAnsi="Rockwell" w:cs="Arial"/>
          <w:b/>
          <w:sz w:val="24"/>
          <w:szCs w:val="24"/>
        </w:rPr>
        <w:t xml:space="preserve"> 36)</w:t>
      </w:r>
      <w:r w:rsidRPr="00B96DAE">
        <w:rPr>
          <w:rFonts w:ascii="Rockwell" w:eastAsia="Arial" w:hAnsi="Rockwell" w:cs="Arial"/>
          <w:sz w:val="24"/>
          <w:szCs w:val="24"/>
        </w:rPr>
        <w:t xml:space="preserve"> : la limitation de l’interdiction de participation aux marchés publics en raison du conflit d’intérêts, aux seules entreprises dans lesquelles l’ordonnateur du budget ou la personne responsable de la commande publique possède des intérêts financiers ou personnels directs ou indirects. Pour les autres agents de l’administration notamment les membres de la commission d’attribution des marchés, les agents de </w:t>
      </w:r>
      <w:r w:rsidRPr="00B96DAE">
        <w:rPr>
          <w:rFonts w:ascii="Rockwell" w:eastAsia="Arial" w:hAnsi="Rockwell" w:cs="Arial"/>
          <w:sz w:val="24"/>
          <w:szCs w:val="24"/>
        </w:rPr>
        <w:lastRenderedPageBreak/>
        <w:t>l’organe de contrôle a priori et ceux de l’organe de régulation, ils sont invités le cas échéant, à déclarer l’existence du conflit d’intérêts et à se récuser.</w:t>
      </w:r>
    </w:p>
    <w:p w14:paraId="2662A885" w14:textId="08EFC6BD" w:rsidR="00BC6EF1" w:rsidRPr="00B96DAE" w:rsidRDefault="00BC6EF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43 </w:t>
      </w:r>
      <w:r w:rsidRPr="00B96DAE">
        <w:rPr>
          <w:rFonts w:ascii="Rockwell" w:eastAsia="Arial" w:hAnsi="Rockwell" w:cs="Arial"/>
          <w:sz w:val="24"/>
          <w:szCs w:val="24"/>
        </w:rPr>
        <w:t>(</w:t>
      </w:r>
      <w:r w:rsidR="00B96DAE">
        <w:rPr>
          <w:rFonts w:ascii="Rockwell" w:eastAsia="Arial" w:hAnsi="Rockwell" w:cs="Arial"/>
          <w:b/>
          <w:bCs/>
          <w:sz w:val="24"/>
          <w:szCs w:val="24"/>
        </w:rPr>
        <w:t xml:space="preserve">ancien </w:t>
      </w:r>
      <w:r w:rsidR="00B96DAE" w:rsidRPr="00B96DAE">
        <w:rPr>
          <w:rFonts w:ascii="Rockwell" w:eastAsia="Arial" w:hAnsi="Rockwell" w:cs="Arial"/>
          <w:b/>
          <w:bCs/>
          <w:sz w:val="24"/>
          <w:szCs w:val="24"/>
        </w:rPr>
        <w:t xml:space="preserve">article </w:t>
      </w:r>
      <w:r w:rsidRPr="00B96DAE">
        <w:rPr>
          <w:rFonts w:ascii="Rockwell" w:eastAsia="Arial" w:hAnsi="Rockwell" w:cs="Arial"/>
          <w:b/>
          <w:bCs/>
          <w:sz w:val="24"/>
          <w:szCs w:val="24"/>
        </w:rPr>
        <w:t>37)</w:t>
      </w:r>
      <w:r w:rsidRPr="00B96DAE">
        <w:rPr>
          <w:rFonts w:ascii="Rockwell" w:eastAsia="Arial" w:hAnsi="Rockwell" w:cs="Arial"/>
          <w:sz w:val="24"/>
          <w:szCs w:val="24"/>
        </w:rPr>
        <w:t> : la limitation des arrêtés relatifs aux agréments techniques à publier sur le site de l’ARCOP aux seuls arrêtés portant conditions d’octroi, de renouvellement et de retraits. Pour les arrêtés portant octroi ou retrait d’agréments, les ministères techniques sont invités à les publier sur leurs sites web pour faciliter la mise à jour de la liste des entreprises agréées.</w:t>
      </w:r>
    </w:p>
    <w:p w14:paraId="4472A11C" w14:textId="70CEC1E3" w:rsidR="000B5B77" w:rsidRPr="00B96DAE" w:rsidRDefault="00BC6EF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5</w:t>
      </w:r>
      <w:r w:rsidR="005D4036" w:rsidRPr="00B96DAE">
        <w:rPr>
          <w:rFonts w:ascii="Rockwell" w:eastAsia="Arial" w:hAnsi="Rockwell" w:cs="Arial"/>
          <w:b/>
          <w:sz w:val="24"/>
          <w:szCs w:val="24"/>
        </w:rPr>
        <w:t>5</w:t>
      </w:r>
      <w:r w:rsidRPr="00B96DAE">
        <w:rPr>
          <w:rFonts w:ascii="Rockwell" w:eastAsia="Arial" w:hAnsi="Rockwell" w:cs="Arial"/>
          <w:b/>
          <w:sz w:val="24"/>
          <w:szCs w:val="24"/>
        </w:rPr>
        <w:t> </w:t>
      </w:r>
      <w:r w:rsidRPr="00B96DAE">
        <w:rPr>
          <w:rFonts w:ascii="Rockwell" w:eastAsia="Arial" w:hAnsi="Rockwell" w:cs="Arial"/>
          <w:sz w:val="24"/>
          <w:szCs w:val="24"/>
        </w:rPr>
        <w:t>(</w:t>
      </w:r>
      <w:r w:rsidR="00B96DAE" w:rsidRPr="00B96DAE">
        <w:rPr>
          <w:rFonts w:ascii="Rockwell" w:eastAsia="Arial" w:hAnsi="Rockwell" w:cs="Arial"/>
          <w:b/>
          <w:bCs/>
          <w:sz w:val="24"/>
          <w:szCs w:val="24"/>
        </w:rPr>
        <w:t xml:space="preserve">ancien article </w:t>
      </w:r>
      <w:r w:rsidRPr="00B96DAE">
        <w:rPr>
          <w:rFonts w:ascii="Rockwell" w:eastAsia="Arial" w:hAnsi="Rockwell" w:cs="Arial"/>
          <w:b/>
          <w:bCs/>
          <w:sz w:val="24"/>
          <w:szCs w:val="24"/>
        </w:rPr>
        <w:t>48) :</w:t>
      </w:r>
      <w:r w:rsidRPr="00B96DAE">
        <w:rPr>
          <w:rFonts w:ascii="Rockwell" w:eastAsia="Arial" w:hAnsi="Rockwell" w:cs="Arial"/>
          <w:sz w:val="24"/>
          <w:szCs w:val="24"/>
        </w:rPr>
        <w:t xml:space="preserve"> la prise en compte du</w:t>
      </w:r>
      <w:r w:rsidRPr="00B96DAE">
        <w:rPr>
          <w:rFonts w:ascii="Rockwell" w:eastAsia="Arial" w:hAnsi="Rockwell" w:cs="Arial"/>
          <w:b/>
          <w:sz w:val="24"/>
          <w:szCs w:val="24"/>
        </w:rPr>
        <w:t xml:space="preserve"> </w:t>
      </w:r>
      <w:proofErr w:type="spellStart"/>
      <w:r w:rsidRPr="00B96DAE">
        <w:rPr>
          <w:rFonts w:ascii="Rockwell" w:eastAsia="Arial" w:hAnsi="Rockwell" w:cs="Arial"/>
          <w:sz w:val="24"/>
          <w:szCs w:val="24"/>
        </w:rPr>
        <w:t>sourcing</w:t>
      </w:r>
      <w:proofErr w:type="spellEnd"/>
      <w:r w:rsidRPr="00B96DAE">
        <w:rPr>
          <w:rFonts w:ascii="Rockwell" w:eastAsia="Arial" w:hAnsi="Rockwell" w:cs="Arial"/>
          <w:sz w:val="24"/>
          <w:szCs w:val="24"/>
        </w:rPr>
        <w:t xml:space="preserve"> pour améliorer la planification des acquisitions</w:t>
      </w:r>
      <w:r w:rsidR="005D4036" w:rsidRPr="00B96DAE">
        <w:rPr>
          <w:rFonts w:ascii="Rockwell" w:eastAsia="Arial" w:hAnsi="Rockwell" w:cs="Arial"/>
          <w:sz w:val="24"/>
          <w:szCs w:val="24"/>
        </w:rPr>
        <w:t>.</w:t>
      </w:r>
    </w:p>
    <w:p w14:paraId="524DFE01" w14:textId="2E0437C5" w:rsidR="000B5B77" w:rsidRPr="00B96DAE" w:rsidRDefault="00BC6EF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5</w:t>
      </w:r>
      <w:r w:rsidR="000B5B77" w:rsidRPr="00B96DAE">
        <w:rPr>
          <w:rFonts w:ascii="Rockwell" w:eastAsia="Arial" w:hAnsi="Rockwell" w:cs="Arial"/>
          <w:b/>
          <w:sz w:val="24"/>
          <w:szCs w:val="24"/>
        </w:rPr>
        <w:t>6</w:t>
      </w:r>
      <w:r w:rsidRPr="00B96DAE">
        <w:rPr>
          <w:rFonts w:ascii="Rockwell" w:eastAsia="Arial" w:hAnsi="Rockwell" w:cs="Arial"/>
          <w:sz w:val="24"/>
          <w:szCs w:val="24"/>
        </w:rPr>
        <w:t> : la définition des obligations minimales à respecter pour la passation de tout marché public dans le cadre de la mise en œuvre des achats publics durables</w:t>
      </w:r>
      <w:r w:rsidR="000E04D6">
        <w:rPr>
          <w:rFonts w:ascii="Rockwell" w:eastAsia="Arial" w:hAnsi="Rockwell" w:cs="Arial"/>
          <w:sz w:val="24"/>
          <w:szCs w:val="24"/>
        </w:rPr>
        <w:t>.</w:t>
      </w:r>
    </w:p>
    <w:p w14:paraId="53D1076A" w14:textId="3330EF46" w:rsidR="000B5B77" w:rsidRPr="00B96DAE" w:rsidRDefault="00BC6EF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5</w:t>
      </w:r>
      <w:r w:rsidR="000B5B77" w:rsidRPr="00B96DAE">
        <w:rPr>
          <w:rFonts w:ascii="Rockwell" w:eastAsia="Arial" w:hAnsi="Rockwell" w:cs="Arial"/>
          <w:b/>
          <w:sz w:val="24"/>
          <w:szCs w:val="24"/>
        </w:rPr>
        <w:t>7</w:t>
      </w:r>
      <w:r w:rsidRPr="00B96DAE">
        <w:rPr>
          <w:rFonts w:ascii="Rockwell" w:eastAsia="Arial" w:hAnsi="Rockwell" w:cs="Arial"/>
          <w:sz w:val="24"/>
          <w:szCs w:val="24"/>
        </w:rPr>
        <w:t> : la répartition de la part de marchés réservés aux petites et moyennes entreprises entre les différentes catégories de bénéficiaires à raison de 5% pour chacune des composantes (micro</w:t>
      </w:r>
      <w:r w:rsidR="000B5B77" w:rsidRPr="00B96DAE">
        <w:rPr>
          <w:rFonts w:ascii="Rockwell" w:eastAsia="Arial" w:hAnsi="Rockwell" w:cs="Arial"/>
          <w:sz w:val="24"/>
          <w:szCs w:val="24"/>
        </w:rPr>
        <w:t>-</w:t>
      </w:r>
      <w:r w:rsidRPr="00B96DAE">
        <w:rPr>
          <w:rFonts w:ascii="Rockwell" w:eastAsia="Arial" w:hAnsi="Rockwell" w:cs="Arial"/>
          <w:sz w:val="24"/>
          <w:szCs w:val="24"/>
        </w:rPr>
        <w:t>entreprises, petites entreprises et moyennes entreprises) pour favoriser un meilleur accès aux marchés publics à toutes les catégories de PME</w:t>
      </w:r>
      <w:r w:rsidR="000B5B77" w:rsidRPr="00B96DAE">
        <w:rPr>
          <w:rFonts w:ascii="Rockwell" w:eastAsia="Arial" w:hAnsi="Rockwell" w:cs="Arial"/>
          <w:sz w:val="24"/>
          <w:szCs w:val="24"/>
        </w:rPr>
        <w:t>.</w:t>
      </w:r>
    </w:p>
    <w:p w14:paraId="26326569" w14:textId="77777777" w:rsidR="00DE4490" w:rsidRPr="00B96DAE" w:rsidRDefault="00BC6EF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5</w:t>
      </w:r>
      <w:r w:rsidR="000B5B77" w:rsidRPr="00B96DAE">
        <w:rPr>
          <w:rFonts w:ascii="Rockwell" w:eastAsia="Arial" w:hAnsi="Rockwell" w:cs="Arial"/>
          <w:b/>
          <w:sz w:val="24"/>
          <w:szCs w:val="24"/>
        </w:rPr>
        <w:t>8</w:t>
      </w:r>
      <w:r w:rsidRPr="00B96DAE">
        <w:rPr>
          <w:rFonts w:ascii="Rockwell" w:eastAsia="Arial" w:hAnsi="Rockwell" w:cs="Arial"/>
          <w:sz w:val="24"/>
          <w:szCs w:val="24"/>
        </w:rPr>
        <w:t> : la fixation d’efforts supplémentaires à atteindre en matière d’achats publics durables</w:t>
      </w:r>
      <w:r w:rsidR="000B5B77" w:rsidRPr="00B96DAE">
        <w:rPr>
          <w:rFonts w:ascii="Rockwell" w:eastAsia="Arial" w:hAnsi="Rockwell" w:cs="Arial"/>
          <w:sz w:val="24"/>
          <w:szCs w:val="24"/>
        </w:rPr>
        <w:t>.</w:t>
      </w:r>
    </w:p>
    <w:p w14:paraId="69B86701" w14:textId="5C5FAB2B" w:rsidR="00DE4490" w:rsidRPr="00B96DAE" w:rsidRDefault="00DE4490"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60 </w:t>
      </w:r>
      <w:r w:rsidRPr="00B96DAE">
        <w:rPr>
          <w:rFonts w:ascii="Rockwell" w:eastAsia="Arial" w:hAnsi="Rockwell" w:cs="Arial"/>
          <w:sz w:val="24"/>
          <w:szCs w:val="24"/>
        </w:rPr>
        <w:t>(</w:t>
      </w:r>
      <w:r w:rsidR="00B96DAE">
        <w:rPr>
          <w:rFonts w:ascii="Rockwell" w:eastAsia="Arial" w:hAnsi="Rockwell" w:cs="Arial"/>
          <w:b/>
          <w:bCs/>
          <w:sz w:val="24"/>
          <w:szCs w:val="24"/>
        </w:rPr>
        <w:t xml:space="preserve">ancien </w:t>
      </w:r>
      <w:r w:rsidR="00B96DAE" w:rsidRPr="00B96DAE">
        <w:rPr>
          <w:rFonts w:ascii="Rockwell" w:eastAsia="Arial" w:hAnsi="Rockwell" w:cs="Arial"/>
          <w:b/>
          <w:bCs/>
          <w:sz w:val="24"/>
          <w:szCs w:val="24"/>
        </w:rPr>
        <w:t>article</w:t>
      </w:r>
      <w:r w:rsidRPr="00B96DAE">
        <w:rPr>
          <w:rFonts w:ascii="Rockwell" w:eastAsia="Arial" w:hAnsi="Rockwell" w:cs="Arial"/>
          <w:b/>
          <w:bCs/>
          <w:sz w:val="24"/>
          <w:szCs w:val="24"/>
        </w:rPr>
        <w:t xml:space="preserve"> 49)</w:t>
      </w:r>
      <w:r w:rsidRPr="00B96DAE">
        <w:rPr>
          <w:rFonts w:ascii="Rockwell" w:eastAsia="Arial" w:hAnsi="Rockwell" w:cs="Arial"/>
          <w:sz w:val="24"/>
          <w:szCs w:val="24"/>
        </w:rPr>
        <w:t xml:space="preserve"> : la consécration de la faculté de passer un marché non inscrit au PPM sur autorisation de la structure en charge du contrôle a priori à charge pour l’autorité contractante de régulariser cette inscription au PPM avant la publication des résultats ou le visa du contrat selon le cas.</w:t>
      </w:r>
    </w:p>
    <w:p w14:paraId="515702CC" w14:textId="5A90C759" w:rsidR="00104275" w:rsidRPr="00B96DAE" w:rsidRDefault="00DE4490"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62 </w:t>
      </w:r>
      <w:r w:rsidRPr="00B96DAE">
        <w:rPr>
          <w:rFonts w:ascii="Rockwell" w:eastAsia="Arial" w:hAnsi="Rockwell" w:cs="Arial"/>
          <w:sz w:val="24"/>
          <w:szCs w:val="24"/>
        </w:rPr>
        <w:t>(</w:t>
      </w:r>
      <w:r w:rsidR="00B96DAE">
        <w:rPr>
          <w:rFonts w:ascii="Rockwell" w:eastAsia="Arial" w:hAnsi="Rockwell" w:cs="Arial"/>
          <w:b/>
          <w:bCs/>
          <w:sz w:val="24"/>
          <w:szCs w:val="24"/>
        </w:rPr>
        <w:t xml:space="preserve">ancien </w:t>
      </w:r>
      <w:r w:rsidR="00B96DAE" w:rsidRPr="00B96DAE">
        <w:rPr>
          <w:rFonts w:ascii="Rockwell" w:eastAsia="Arial" w:hAnsi="Rockwell" w:cs="Arial"/>
          <w:b/>
          <w:bCs/>
          <w:sz w:val="24"/>
          <w:szCs w:val="24"/>
        </w:rPr>
        <w:t xml:space="preserve">article </w:t>
      </w:r>
      <w:r w:rsidRPr="00B96DAE">
        <w:rPr>
          <w:rFonts w:ascii="Rockwell" w:eastAsia="Arial" w:hAnsi="Rockwell" w:cs="Arial"/>
          <w:b/>
          <w:bCs/>
          <w:sz w:val="24"/>
          <w:szCs w:val="24"/>
        </w:rPr>
        <w:t>51)</w:t>
      </w:r>
      <w:r w:rsidRPr="00B96DAE">
        <w:rPr>
          <w:rFonts w:ascii="Rockwell" w:eastAsia="Arial" w:hAnsi="Rockwell" w:cs="Arial"/>
          <w:sz w:val="24"/>
          <w:szCs w:val="24"/>
        </w:rPr>
        <w:t> : la prise en compte du budget prévisionnel parmi les éléments à faire figurer dans l’avis d’appel à concurrence.</w:t>
      </w:r>
    </w:p>
    <w:p w14:paraId="131E0BE5" w14:textId="6F69DDB6" w:rsidR="00DE4490" w:rsidRPr="00B96DAE" w:rsidRDefault="00104275"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68</w:t>
      </w:r>
      <w:r w:rsidRPr="00B96DAE">
        <w:rPr>
          <w:rFonts w:ascii="Rockwell" w:eastAsia="Arial" w:hAnsi="Rockwell" w:cs="Arial"/>
          <w:sz w:val="24"/>
          <w:szCs w:val="24"/>
        </w:rPr>
        <w:t> (</w:t>
      </w:r>
      <w:r w:rsidR="00B96DAE">
        <w:rPr>
          <w:rFonts w:ascii="Rockwell" w:eastAsia="Arial" w:hAnsi="Rockwell" w:cs="Arial"/>
          <w:b/>
          <w:bCs/>
          <w:sz w:val="24"/>
          <w:szCs w:val="24"/>
        </w:rPr>
        <w:t>ancien article</w:t>
      </w:r>
      <w:r w:rsidRPr="00B96DAE">
        <w:rPr>
          <w:rFonts w:ascii="Rockwell" w:eastAsia="Arial" w:hAnsi="Rockwell" w:cs="Arial"/>
          <w:sz w:val="24"/>
          <w:szCs w:val="24"/>
        </w:rPr>
        <w:t xml:space="preserve"> 57) : le rehaussement du seuil de recours obligatoire au concours architectural à 2 000 000 000 de F CFA.</w:t>
      </w:r>
    </w:p>
    <w:p w14:paraId="3B82A062" w14:textId="77777777" w:rsidR="009E5669" w:rsidRPr="00B96DAE" w:rsidRDefault="00B461D9"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Articles </w:t>
      </w:r>
      <w:r w:rsidR="00F26724" w:rsidRPr="00B96DAE">
        <w:rPr>
          <w:rFonts w:ascii="Rockwell" w:eastAsia="Arial" w:hAnsi="Rockwell" w:cs="Arial"/>
          <w:b/>
          <w:sz w:val="24"/>
          <w:szCs w:val="24"/>
        </w:rPr>
        <w:t>69</w:t>
      </w:r>
      <w:r w:rsidRPr="00B96DAE">
        <w:rPr>
          <w:rFonts w:ascii="Rockwell" w:eastAsia="Arial" w:hAnsi="Rockwell" w:cs="Arial"/>
          <w:b/>
          <w:sz w:val="24"/>
          <w:szCs w:val="24"/>
        </w:rPr>
        <w:t xml:space="preserve"> et </w:t>
      </w:r>
      <w:r w:rsidR="00F26724" w:rsidRPr="00B96DAE">
        <w:rPr>
          <w:rFonts w:ascii="Rockwell" w:eastAsia="Arial" w:hAnsi="Rockwell" w:cs="Arial"/>
          <w:b/>
          <w:sz w:val="24"/>
          <w:szCs w:val="24"/>
        </w:rPr>
        <w:t>70</w:t>
      </w:r>
      <w:r w:rsidRPr="00B96DAE">
        <w:rPr>
          <w:rFonts w:ascii="Rockwell" w:eastAsia="Arial" w:hAnsi="Rockwell" w:cs="Arial"/>
          <w:sz w:val="24"/>
          <w:szCs w:val="24"/>
        </w:rPr>
        <w:t xml:space="preserve"> : </w:t>
      </w:r>
      <w:r w:rsidR="009E5669" w:rsidRPr="00B96DAE">
        <w:rPr>
          <w:rFonts w:ascii="Rockwell" w:eastAsia="Arial" w:hAnsi="Rockwell" w:cs="Arial"/>
          <w:sz w:val="24"/>
          <w:szCs w:val="24"/>
        </w:rPr>
        <w:t xml:space="preserve">ces nouveaux articles </w:t>
      </w:r>
      <w:r w:rsidRPr="00B96DAE">
        <w:rPr>
          <w:rFonts w:ascii="Rockwell" w:eastAsia="Arial" w:hAnsi="Rockwell" w:cs="Arial"/>
          <w:sz w:val="24"/>
          <w:szCs w:val="24"/>
        </w:rPr>
        <w:t>défini</w:t>
      </w:r>
      <w:r w:rsidR="009E5669" w:rsidRPr="00B96DAE">
        <w:rPr>
          <w:rFonts w:ascii="Rockwell" w:eastAsia="Arial" w:hAnsi="Rockwell" w:cs="Arial"/>
          <w:sz w:val="24"/>
          <w:szCs w:val="24"/>
        </w:rPr>
        <w:t xml:space="preserve">ssent le </w:t>
      </w:r>
      <w:r w:rsidRPr="00B96DAE">
        <w:rPr>
          <w:rFonts w:ascii="Rockwell" w:eastAsia="Arial" w:hAnsi="Rockwell" w:cs="Arial"/>
          <w:sz w:val="24"/>
          <w:szCs w:val="24"/>
        </w:rPr>
        <w:t>champ matériel du concours architectural</w:t>
      </w:r>
      <w:r w:rsidR="009E5669" w:rsidRPr="00B96DAE">
        <w:rPr>
          <w:rFonts w:ascii="Rockwell" w:eastAsia="Arial" w:hAnsi="Rockwell" w:cs="Arial"/>
          <w:sz w:val="24"/>
          <w:szCs w:val="24"/>
        </w:rPr>
        <w:t>.</w:t>
      </w:r>
    </w:p>
    <w:p w14:paraId="3116C709" w14:textId="641E91C9" w:rsidR="009E5669" w:rsidRPr="00B96DAE" w:rsidRDefault="009E5669"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7</w:t>
      </w:r>
      <w:r w:rsidR="00A67B70" w:rsidRPr="00B96DAE">
        <w:rPr>
          <w:rFonts w:ascii="Rockwell" w:eastAsia="Arial" w:hAnsi="Rockwell" w:cs="Arial"/>
          <w:b/>
          <w:sz w:val="24"/>
          <w:szCs w:val="24"/>
        </w:rPr>
        <w:t>3</w:t>
      </w:r>
      <w:r w:rsidRPr="00B96DAE">
        <w:rPr>
          <w:rFonts w:ascii="Rockwell" w:eastAsia="Arial" w:hAnsi="Rockwell" w:cs="Arial"/>
          <w:sz w:val="24"/>
          <w:szCs w:val="24"/>
        </w:rPr>
        <w:t> : la définition du contenu du programme du concours.</w:t>
      </w:r>
    </w:p>
    <w:p w14:paraId="29DE08C1" w14:textId="48EFD5DD" w:rsidR="00A67B70" w:rsidRPr="00B96DAE" w:rsidRDefault="009E5669"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7</w:t>
      </w:r>
      <w:r w:rsidR="00A67B70" w:rsidRPr="00B96DAE">
        <w:rPr>
          <w:rFonts w:ascii="Rockwell" w:eastAsia="Arial" w:hAnsi="Rockwell" w:cs="Arial"/>
          <w:b/>
          <w:sz w:val="24"/>
          <w:szCs w:val="24"/>
        </w:rPr>
        <w:t>5</w:t>
      </w:r>
      <w:r w:rsidRPr="00B96DAE">
        <w:rPr>
          <w:rFonts w:ascii="Rockwell" w:eastAsia="Arial" w:hAnsi="Rockwell" w:cs="Arial"/>
          <w:b/>
          <w:sz w:val="24"/>
          <w:szCs w:val="24"/>
        </w:rPr>
        <w:t> (</w:t>
      </w:r>
      <w:r w:rsidR="00494FFD" w:rsidRPr="00B96DAE">
        <w:rPr>
          <w:rFonts w:ascii="Rockwell" w:eastAsia="Arial" w:hAnsi="Rockwell" w:cs="Arial"/>
          <w:b/>
          <w:sz w:val="24"/>
          <w:szCs w:val="24"/>
        </w:rPr>
        <w:t xml:space="preserve">ancien </w:t>
      </w:r>
      <w:r w:rsidR="00B96DAE">
        <w:rPr>
          <w:rFonts w:ascii="Rockwell" w:eastAsia="Arial" w:hAnsi="Rockwell" w:cs="Arial"/>
          <w:b/>
          <w:sz w:val="24"/>
          <w:szCs w:val="24"/>
        </w:rPr>
        <w:t xml:space="preserve">article </w:t>
      </w:r>
      <w:r w:rsidRPr="00B96DAE">
        <w:rPr>
          <w:rFonts w:ascii="Rockwell" w:eastAsia="Arial" w:hAnsi="Rockwell" w:cs="Arial"/>
          <w:b/>
          <w:sz w:val="24"/>
          <w:szCs w:val="24"/>
        </w:rPr>
        <w:t>art 61) :</w:t>
      </w:r>
      <w:r w:rsidRPr="00B96DAE">
        <w:rPr>
          <w:rFonts w:ascii="Rockwell" w:eastAsia="Arial" w:hAnsi="Rockwell" w:cs="Arial"/>
          <w:sz w:val="24"/>
          <w:szCs w:val="24"/>
        </w:rPr>
        <w:t xml:space="preserve"> la mise en cohérence de la composition du jury du concours architectural avec la directive n°01/2013/CM/UEMOA du 26 septembre 2013 relative à l'harmonisation des règles régissant la profession d'architecte au sein de l'UEMOA.</w:t>
      </w:r>
    </w:p>
    <w:p w14:paraId="657106EE" w14:textId="5124BEE7" w:rsidR="00C4682D" w:rsidRPr="00B96DAE" w:rsidRDefault="00A67B70"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78 (</w:t>
      </w:r>
      <w:r w:rsidR="00494FFD" w:rsidRPr="00B96DAE">
        <w:rPr>
          <w:rFonts w:ascii="Rockwell" w:eastAsia="Arial" w:hAnsi="Rockwell" w:cs="Arial"/>
          <w:b/>
          <w:sz w:val="24"/>
          <w:szCs w:val="24"/>
        </w:rPr>
        <w:t xml:space="preserve">ancien </w:t>
      </w:r>
      <w:r w:rsidRPr="00B96DAE">
        <w:rPr>
          <w:rFonts w:ascii="Rockwell" w:eastAsia="Arial" w:hAnsi="Rockwell" w:cs="Arial"/>
          <w:b/>
          <w:sz w:val="24"/>
          <w:szCs w:val="24"/>
        </w:rPr>
        <w:t>art</w:t>
      </w:r>
      <w:r w:rsidR="00B96DAE">
        <w:rPr>
          <w:rFonts w:ascii="Rockwell" w:eastAsia="Arial" w:hAnsi="Rockwell" w:cs="Arial"/>
          <w:b/>
          <w:sz w:val="24"/>
          <w:szCs w:val="24"/>
        </w:rPr>
        <w:t>icle</w:t>
      </w:r>
      <w:r w:rsidRPr="00B96DAE">
        <w:rPr>
          <w:rFonts w:ascii="Rockwell" w:eastAsia="Arial" w:hAnsi="Rockwell" w:cs="Arial"/>
          <w:b/>
          <w:sz w:val="24"/>
          <w:szCs w:val="24"/>
        </w:rPr>
        <w:t xml:space="preserve"> 64) :</w:t>
      </w:r>
      <w:r w:rsidRPr="00B96DAE">
        <w:rPr>
          <w:rFonts w:ascii="Rockwell" w:eastAsia="Arial" w:hAnsi="Rockwell" w:cs="Arial"/>
          <w:sz w:val="24"/>
          <w:szCs w:val="24"/>
        </w:rPr>
        <w:t xml:space="preserve"> l’autorisation des candidats au concours architectural à participer à l’ouverture des plis qui est rendu publique. L’article prend également en compte, l’encadrement de la séance d’ouverture des plis et le rejet des projets dont les coûts sont supérieurs à dix pour cent (10%) du montant estimatif</w:t>
      </w:r>
      <w:r w:rsidR="00C4682D" w:rsidRPr="00B96DAE">
        <w:rPr>
          <w:rFonts w:ascii="Rockwell" w:eastAsia="Arial" w:hAnsi="Rockwell" w:cs="Arial"/>
          <w:sz w:val="24"/>
          <w:szCs w:val="24"/>
        </w:rPr>
        <w:t>.</w:t>
      </w:r>
    </w:p>
    <w:p w14:paraId="5FB08A4C" w14:textId="4B4E17B3" w:rsidR="00C4682D" w:rsidRPr="00B96DAE" w:rsidRDefault="00C4682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79</w:t>
      </w:r>
      <w:r w:rsidRPr="00B96DAE">
        <w:rPr>
          <w:rFonts w:ascii="Rockwell" w:eastAsia="Arial" w:hAnsi="Rockwell" w:cs="Arial"/>
          <w:sz w:val="24"/>
          <w:szCs w:val="24"/>
        </w:rPr>
        <w:t> : l</w:t>
      </w:r>
      <w:r w:rsidR="00DA34EB" w:rsidRPr="00B96DAE">
        <w:rPr>
          <w:rFonts w:ascii="Rockwell" w:eastAsia="Arial" w:hAnsi="Rockwell" w:cs="Arial"/>
          <w:sz w:val="24"/>
          <w:szCs w:val="24"/>
        </w:rPr>
        <w:t>’obligation pour l’autorité contractante de choisir le</w:t>
      </w:r>
      <w:r w:rsidRPr="00B96DAE">
        <w:rPr>
          <w:rFonts w:ascii="Rockwell" w:eastAsia="Arial" w:hAnsi="Rockwell" w:cs="Arial"/>
          <w:sz w:val="24"/>
          <w:szCs w:val="24"/>
        </w:rPr>
        <w:t xml:space="preserve"> candidat dont le projet est classé premier</w:t>
      </w:r>
      <w:r w:rsidR="00DA34EB" w:rsidRPr="00B96DAE">
        <w:rPr>
          <w:rFonts w:ascii="Rockwell" w:eastAsia="Arial" w:hAnsi="Rockwell" w:cs="Arial"/>
          <w:sz w:val="24"/>
          <w:szCs w:val="24"/>
        </w:rPr>
        <w:t>.</w:t>
      </w:r>
    </w:p>
    <w:p w14:paraId="0DEFFAFB" w14:textId="719CA587" w:rsidR="00EE310E" w:rsidRPr="00B96DAE" w:rsidRDefault="00EE310E"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lastRenderedPageBreak/>
        <w:t>Article 80</w:t>
      </w:r>
      <w:r w:rsidRPr="00B96DAE">
        <w:rPr>
          <w:rFonts w:ascii="Rockwell" w:eastAsia="Arial" w:hAnsi="Rockwell" w:cs="Arial"/>
          <w:sz w:val="24"/>
          <w:szCs w:val="24"/>
        </w:rPr>
        <w:t xml:space="preserve"> : </w:t>
      </w:r>
      <w:r w:rsidRPr="00B96DAE">
        <w:rPr>
          <w:rFonts w:ascii="Rockwell" w:hAnsi="Rockwell"/>
          <w:sz w:val="24"/>
          <w:szCs w:val="24"/>
        </w:rPr>
        <w:t>la prise en compte d’autres natures de prestation notamment la conception de logo et de trophée dans le</w:t>
      </w:r>
      <w:r w:rsidR="000A52D1" w:rsidRPr="00B96DAE">
        <w:rPr>
          <w:rFonts w:ascii="Rockwell" w:hAnsi="Rockwell"/>
          <w:sz w:val="24"/>
          <w:szCs w:val="24"/>
        </w:rPr>
        <w:t xml:space="preserve"> concours architectural.</w:t>
      </w:r>
    </w:p>
    <w:p w14:paraId="52B8E853" w14:textId="718B46E0" w:rsidR="00DA34EB" w:rsidRPr="00B96DAE" w:rsidRDefault="00DA34EB"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w:t>
      </w:r>
      <w:r w:rsidR="00494FFD" w:rsidRPr="00B96DAE">
        <w:rPr>
          <w:rFonts w:ascii="Rockwell" w:eastAsia="Arial" w:hAnsi="Rockwell" w:cs="Arial"/>
          <w:b/>
          <w:sz w:val="24"/>
          <w:szCs w:val="24"/>
        </w:rPr>
        <w:t>83</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494FFD" w:rsidRPr="00B96DAE">
        <w:rPr>
          <w:rFonts w:ascii="Rockwell" w:eastAsia="Arial" w:hAnsi="Rockwell" w:cs="Arial"/>
          <w:b/>
          <w:bCs/>
          <w:sz w:val="24"/>
          <w:szCs w:val="24"/>
        </w:rPr>
        <w:t xml:space="preserve">ancien </w:t>
      </w:r>
      <w:r w:rsidRPr="00B96DAE">
        <w:rPr>
          <w:rFonts w:ascii="Rockwell" w:eastAsia="Arial" w:hAnsi="Rockwell" w:cs="Arial"/>
          <w:b/>
          <w:bCs/>
          <w:sz w:val="24"/>
          <w:szCs w:val="24"/>
        </w:rPr>
        <w:t>art</w:t>
      </w:r>
      <w:r w:rsidR="00B96DAE">
        <w:rPr>
          <w:rFonts w:ascii="Rockwell" w:eastAsia="Arial" w:hAnsi="Rockwell" w:cs="Arial"/>
          <w:b/>
          <w:bCs/>
          <w:sz w:val="24"/>
          <w:szCs w:val="24"/>
        </w:rPr>
        <w:t>icle</w:t>
      </w:r>
      <w:r w:rsidRPr="00B96DAE">
        <w:rPr>
          <w:rFonts w:ascii="Rockwell" w:eastAsia="Arial" w:hAnsi="Rockwell" w:cs="Arial"/>
          <w:b/>
          <w:bCs/>
          <w:sz w:val="24"/>
          <w:szCs w:val="24"/>
        </w:rPr>
        <w:t xml:space="preserve"> 68) :</w:t>
      </w:r>
      <w:r w:rsidRPr="00B96DAE">
        <w:rPr>
          <w:rFonts w:ascii="Rockwell" w:eastAsia="Arial" w:hAnsi="Rockwell" w:cs="Arial"/>
          <w:sz w:val="24"/>
          <w:szCs w:val="24"/>
        </w:rPr>
        <w:t xml:space="preserve"> l’ajout d’un alinéa (dernier alinéa) pour interdire la consultation des entreprises défaillantes dans le cadre d’une consultation de consultants</w:t>
      </w:r>
      <w:r w:rsidR="00494FFD" w:rsidRPr="00B96DAE">
        <w:rPr>
          <w:rFonts w:ascii="Rockwell" w:eastAsia="Arial" w:hAnsi="Rockwell" w:cs="Arial"/>
          <w:sz w:val="24"/>
          <w:szCs w:val="24"/>
        </w:rPr>
        <w:t>.</w:t>
      </w:r>
    </w:p>
    <w:p w14:paraId="4EC591C0" w14:textId="147163C1" w:rsidR="00D3609A" w:rsidRPr="00B96DAE" w:rsidRDefault="00DA34EB"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w:t>
      </w:r>
      <w:r w:rsidR="00494FFD" w:rsidRPr="00B96DAE">
        <w:rPr>
          <w:rFonts w:ascii="Rockwell" w:eastAsia="Arial" w:hAnsi="Rockwell" w:cs="Arial"/>
          <w:b/>
          <w:sz w:val="24"/>
          <w:szCs w:val="24"/>
        </w:rPr>
        <w:t>84</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494FFD" w:rsidRPr="00B96DAE">
        <w:rPr>
          <w:rFonts w:ascii="Rockwell" w:eastAsia="Arial" w:hAnsi="Rockwell" w:cs="Arial"/>
          <w:b/>
          <w:bCs/>
          <w:sz w:val="24"/>
          <w:szCs w:val="24"/>
        </w:rPr>
        <w:t xml:space="preserve">ancien </w:t>
      </w:r>
      <w:r w:rsidRPr="00B96DAE">
        <w:rPr>
          <w:rFonts w:ascii="Rockwell" w:eastAsia="Arial" w:hAnsi="Rockwell" w:cs="Arial"/>
          <w:b/>
          <w:bCs/>
          <w:sz w:val="24"/>
          <w:szCs w:val="24"/>
        </w:rPr>
        <w:t>art</w:t>
      </w:r>
      <w:r w:rsidR="00B96DAE">
        <w:rPr>
          <w:rFonts w:ascii="Rockwell" w:eastAsia="Arial" w:hAnsi="Rockwell" w:cs="Arial"/>
          <w:b/>
          <w:bCs/>
          <w:sz w:val="24"/>
          <w:szCs w:val="24"/>
        </w:rPr>
        <w:t>icle</w:t>
      </w:r>
      <w:r w:rsidRPr="00B96DAE">
        <w:rPr>
          <w:rFonts w:ascii="Rockwell" w:eastAsia="Arial" w:hAnsi="Rockwell" w:cs="Arial"/>
          <w:b/>
          <w:bCs/>
          <w:sz w:val="24"/>
          <w:szCs w:val="24"/>
        </w:rPr>
        <w:t xml:space="preserve"> 69) :</w:t>
      </w:r>
      <w:r w:rsidRPr="00B96DAE">
        <w:rPr>
          <w:rFonts w:ascii="Rockwell" w:eastAsia="Arial" w:hAnsi="Rockwell" w:cs="Arial"/>
          <w:sz w:val="24"/>
          <w:szCs w:val="24"/>
        </w:rPr>
        <w:t xml:space="preserve"> l’introduction d’un délai minimum de dépôt des manifestations d’intérêts</w:t>
      </w:r>
      <w:r w:rsidR="00494FFD" w:rsidRPr="00B96DAE">
        <w:rPr>
          <w:rFonts w:ascii="Rockwell" w:eastAsia="Arial" w:hAnsi="Rockwell" w:cs="Arial"/>
          <w:sz w:val="24"/>
          <w:szCs w:val="24"/>
        </w:rPr>
        <w:t xml:space="preserve"> pour la sélection des consultants individuels qui est d</w:t>
      </w:r>
      <w:r w:rsidRPr="00B96DAE">
        <w:rPr>
          <w:rFonts w:ascii="Rockwell" w:eastAsia="Arial" w:hAnsi="Rockwell" w:cs="Arial"/>
          <w:sz w:val="24"/>
          <w:szCs w:val="24"/>
        </w:rPr>
        <w:t xml:space="preserve">e dix (10) jours calendaires à compter de </w:t>
      </w:r>
      <w:r w:rsidR="00494FFD" w:rsidRPr="00B96DAE">
        <w:rPr>
          <w:rFonts w:ascii="Rockwell" w:eastAsia="Arial" w:hAnsi="Rockwell" w:cs="Arial"/>
          <w:sz w:val="24"/>
          <w:szCs w:val="24"/>
        </w:rPr>
        <w:t xml:space="preserve">la </w:t>
      </w:r>
      <w:r w:rsidRPr="00B96DAE">
        <w:rPr>
          <w:rFonts w:ascii="Rockwell" w:eastAsia="Arial" w:hAnsi="Rockwell" w:cs="Arial"/>
          <w:sz w:val="24"/>
          <w:szCs w:val="24"/>
        </w:rPr>
        <w:t>publication de l’avis</w:t>
      </w:r>
      <w:r w:rsidR="00494FFD" w:rsidRPr="00B96DAE">
        <w:rPr>
          <w:rFonts w:ascii="Rockwell" w:eastAsia="Arial" w:hAnsi="Rockwell" w:cs="Arial"/>
          <w:sz w:val="24"/>
          <w:szCs w:val="24"/>
        </w:rPr>
        <w:t>.</w:t>
      </w:r>
    </w:p>
    <w:p w14:paraId="067F51DC" w14:textId="70DD30B2" w:rsidR="000810DA" w:rsidRPr="00B96DAE" w:rsidRDefault="00494FF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85</w:t>
      </w:r>
      <w:r w:rsidRPr="00B96DAE">
        <w:rPr>
          <w:rFonts w:ascii="Rockwell" w:eastAsia="Arial" w:hAnsi="Rockwell" w:cs="Arial"/>
          <w:sz w:val="24"/>
          <w:szCs w:val="24"/>
        </w:rPr>
        <w:t> (</w:t>
      </w:r>
      <w:r w:rsidRPr="00B96DAE">
        <w:rPr>
          <w:rFonts w:ascii="Rockwell" w:eastAsia="Arial" w:hAnsi="Rockwell" w:cs="Arial"/>
          <w:b/>
          <w:bCs/>
          <w:sz w:val="24"/>
          <w:szCs w:val="24"/>
        </w:rPr>
        <w:t>ancien art</w:t>
      </w:r>
      <w:r w:rsidR="00B96DAE">
        <w:rPr>
          <w:rFonts w:ascii="Rockwell" w:eastAsia="Arial" w:hAnsi="Rockwell" w:cs="Arial"/>
          <w:b/>
          <w:bCs/>
          <w:sz w:val="24"/>
          <w:szCs w:val="24"/>
        </w:rPr>
        <w:t>icle</w:t>
      </w:r>
      <w:r w:rsidRPr="00B96DAE">
        <w:rPr>
          <w:rFonts w:ascii="Rockwell" w:eastAsia="Arial" w:hAnsi="Rockwell" w:cs="Arial"/>
          <w:b/>
          <w:bCs/>
          <w:sz w:val="24"/>
          <w:szCs w:val="24"/>
        </w:rPr>
        <w:t xml:space="preserve"> 70)</w:t>
      </w:r>
      <w:r w:rsidRPr="00B96DAE">
        <w:rPr>
          <w:rFonts w:ascii="Rockwell" w:eastAsia="Times New Roman" w:hAnsi="Rockwell" w:cs="Times New Roman"/>
          <w:b/>
          <w:bCs/>
          <w:sz w:val="24"/>
          <w:szCs w:val="24"/>
        </w:rPr>
        <w:t> </w:t>
      </w:r>
      <w:r w:rsidRPr="00B96DAE">
        <w:rPr>
          <w:rFonts w:ascii="Rockwell" w:eastAsia="Arial" w:hAnsi="Rockwell" w:cs="Arial"/>
          <w:b/>
          <w:bCs/>
          <w:sz w:val="24"/>
          <w:szCs w:val="24"/>
        </w:rPr>
        <w:t>:</w:t>
      </w:r>
      <w:r w:rsidRPr="00B96DAE">
        <w:rPr>
          <w:rFonts w:ascii="Rockwell" w:eastAsia="Arial" w:hAnsi="Rockwell" w:cs="Arial"/>
          <w:sz w:val="24"/>
          <w:szCs w:val="24"/>
        </w:rPr>
        <w:t xml:space="preserve"> le </w:t>
      </w:r>
      <w:r w:rsidR="00D3609A" w:rsidRPr="00B96DAE">
        <w:rPr>
          <w:rFonts w:ascii="Rockwell" w:eastAsia="Arial" w:hAnsi="Rockwell" w:cs="Arial"/>
          <w:sz w:val="24"/>
          <w:szCs w:val="24"/>
        </w:rPr>
        <w:t xml:space="preserve">seuil de la procédure de la demande de propositions allégée a été </w:t>
      </w:r>
      <w:r w:rsidRPr="00B96DAE">
        <w:rPr>
          <w:rFonts w:ascii="Rockwell" w:eastAsia="Arial" w:hAnsi="Rockwell" w:cs="Arial"/>
          <w:sz w:val="24"/>
          <w:szCs w:val="24"/>
        </w:rPr>
        <w:t>rehauss</w:t>
      </w:r>
      <w:r w:rsidR="00D3609A" w:rsidRPr="00B96DAE">
        <w:rPr>
          <w:rFonts w:ascii="Rockwell" w:eastAsia="Arial" w:hAnsi="Rockwell" w:cs="Arial"/>
          <w:sz w:val="24"/>
          <w:szCs w:val="24"/>
        </w:rPr>
        <w:t xml:space="preserve">é </w:t>
      </w:r>
      <w:r w:rsidRPr="00B96DAE">
        <w:rPr>
          <w:rFonts w:ascii="Rockwell" w:eastAsia="Arial" w:hAnsi="Rockwell" w:cs="Arial"/>
          <w:sz w:val="24"/>
          <w:szCs w:val="24"/>
        </w:rPr>
        <w:t>(jusqu’à inférieur à 60 000 000) et le</w:t>
      </w:r>
      <w:r w:rsidR="00D3609A" w:rsidRPr="00B96DAE">
        <w:rPr>
          <w:rFonts w:ascii="Rockwell" w:eastAsia="Arial" w:hAnsi="Rockwell" w:cs="Arial"/>
          <w:sz w:val="24"/>
          <w:szCs w:val="24"/>
        </w:rPr>
        <w:t xml:space="preserve"> </w:t>
      </w:r>
      <w:r w:rsidRPr="00B96DAE">
        <w:rPr>
          <w:rFonts w:ascii="Rockwell" w:eastAsia="Arial" w:hAnsi="Rockwell" w:cs="Arial"/>
          <w:sz w:val="24"/>
          <w:szCs w:val="24"/>
        </w:rPr>
        <w:t xml:space="preserve">processus de </w:t>
      </w:r>
      <w:r w:rsidR="00D3609A" w:rsidRPr="00B96DAE">
        <w:rPr>
          <w:rFonts w:ascii="Rockwell" w:eastAsia="Arial" w:hAnsi="Rockwell" w:cs="Arial"/>
          <w:sz w:val="24"/>
          <w:szCs w:val="24"/>
        </w:rPr>
        <w:t xml:space="preserve">sa </w:t>
      </w:r>
      <w:r w:rsidRPr="00B96DAE">
        <w:rPr>
          <w:rFonts w:ascii="Rockwell" w:eastAsia="Arial" w:hAnsi="Rockwell" w:cs="Arial"/>
          <w:sz w:val="24"/>
          <w:szCs w:val="24"/>
        </w:rPr>
        <w:t xml:space="preserve">mise en œuvre </w:t>
      </w:r>
      <w:r w:rsidR="00D3609A" w:rsidRPr="00B96DAE">
        <w:rPr>
          <w:rFonts w:ascii="Rockwell" w:eastAsia="Arial" w:hAnsi="Rockwell" w:cs="Arial"/>
          <w:sz w:val="24"/>
          <w:szCs w:val="24"/>
        </w:rPr>
        <w:t>a été revu</w:t>
      </w:r>
      <w:r w:rsidRPr="00B96DAE">
        <w:rPr>
          <w:rFonts w:ascii="Rockwell" w:eastAsia="Arial" w:hAnsi="Rockwell" w:cs="Arial"/>
          <w:sz w:val="24"/>
          <w:szCs w:val="24"/>
        </w:rPr>
        <w:t>.</w:t>
      </w:r>
    </w:p>
    <w:p w14:paraId="310D405E" w14:textId="5B02D620" w:rsidR="00C348EB" w:rsidRPr="00B96DAE" w:rsidRDefault="00C348EB"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bCs/>
          <w:sz w:val="24"/>
          <w:szCs w:val="24"/>
        </w:rPr>
        <w:t>Article 87 (ancien</w:t>
      </w:r>
      <w:r w:rsidR="00B96DAE">
        <w:rPr>
          <w:rFonts w:ascii="Rockwell" w:eastAsia="Arial" w:hAnsi="Rockwell" w:cs="Arial"/>
          <w:b/>
          <w:bCs/>
          <w:sz w:val="24"/>
          <w:szCs w:val="24"/>
        </w:rPr>
        <w:t xml:space="preserve"> article</w:t>
      </w:r>
      <w:r w:rsidRPr="00B96DAE">
        <w:rPr>
          <w:rFonts w:ascii="Rockwell" w:eastAsia="Arial" w:hAnsi="Rockwell" w:cs="Arial"/>
          <w:b/>
          <w:bCs/>
          <w:sz w:val="24"/>
          <w:szCs w:val="24"/>
        </w:rPr>
        <w:t xml:space="preserve"> </w:t>
      </w:r>
      <w:r w:rsidR="00C227AB" w:rsidRPr="00B96DAE">
        <w:rPr>
          <w:rFonts w:ascii="Rockwell" w:eastAsia="Arial" w:hAnsi="Rockwell" w:cs="Arial"/>
          <w:b/>
          <w:bCs/>
          <w:sz w:val="24"/>
          <w:szCs w:val="24"/>
        </w:rPr>
        <w:t>72</w:t>
      </w:r>
      <w:r w:rsidRPr="00B96DAE">
        <w:rPr>
          <w:rFonts w:ascii="Rockwell" w:eastAsia="Arial" w:hAnsi="Rockwell" w:cs="Arial"/>
          <w:b/>
          <w:bCs/>
          <w:sz w:val="24"/>
          <w:szCs w:val="24"/>
        </w:rPr>
        <w:t>)</w:t>
      </w:r>
      <w:r w:rsidRPr="00B96DAE">
        <w:rPr>
          <w:rFonts w:ascii="Rockwell" w:eastAsia="Arial" w:hAnsi="Rockwell" w:cs="Arial"/>
          <w:sz w:val="24"/>
          <w:szCs w:val="24"/>
        </w:rPr>
        <w:t xml:space="preserve"> : les PRM ont l’obligation de constituer un </w:t>
      </w:r>
      <w:r w:rsidR="00C227AB" w:rsidRPr="00B96DAE">
        <w:rPr>
          <w:rFonts w:ascii="Rockwell" w:eastAsia="Arial" w:hAnsi="Rockwell" w:cs="Arial"/>
          <w:sz w:val="24"/>
          <w:szCs w:val="24"/>
        </w:rPr>
        <w:t>répertoire</w:t>
      </w:r>
      <w:r w:rsidRPr="00B96DAE">
        <w:rPr>
          <w:rFonts w:ascii="Rockwell" w:eastAsia="Arial" w:hAnsi="Rockwell" w:cs="Arial"/>
          <w:sz w:val="24"/>
          <w:szCs w:val="24"/>
        </w:rPr>
        <w:t xml:space="preserve"> d’entreprises par domaine à cons</w:t>
      </w:r>
      <w:r w:rsidR="00C227AB" w:rsidRPr="00B96DAE">
        <w:rPr>
          <w:rFonts w:ascii="Rockwell" w:eastAsia="Arial" w:hAnsi="Rockwell" w:cs="Arial"/>
          <w:sz w:val="24"/>
          <w:szCs w:val="24"/>
        </w:rPr>
        <w:t>ulter de manière rotative pour les procédures de demande de cotations</w:t>
      </w:r>
      <w:r w:rsidR="00896B7A" w:rsidRPr="00B96DAE">
        <w:rPr>
          <w:rFonts w:ascii="Rockwell" w:eastAsia="Arial" w:hAnsi="Rockwell" w:cs="Arial"/>
          <w:sz w:val="24"/>
          <w:szCs w:val="24"/>
        </w:rPr>
        <w:t xml:space="preserve"> afin de garantir la transparence et l’équité entre les candidats</w:t>
      </w:r>
      <w:r w:rsidR="00C227AB" w:rsidRPr="00B96DAE">
        <w:rPr>
          <w:rFonts w:ascii="Rockwell" w:eastAsia="Arial" w:hAnsi="Rockwell" w:cs="Arial"/>
          <w:sz w:val="24"/>
          <w:szCs w:val="24"/>
        </w:rPr>
        <w:t>. Aussi, il est interdit à une même autorité contractante d’a</w:t>
      </w:r>
      <w:r w:rsidRPr="00B96DAE">
        <w:rPr>
          <w:rFonts w:ascii="Rockwell" w:eastAsia="Arial" w:hAnsi="Rockwell" w:cs="Arial"/>
          <w:sz w:val="24"/>
          <w:szCs w:val="24"/>
        </w:rPr>
        <w:t xml:space="preserve">ttribuer </w:t>
      </w:r>
      <w:r w:rsidR="00C227AB" w:rsidRPr="00B96DAE">
        <w:rPr>
          <w:rFonts w:ascii="Rockwell" w:eastAsia="Arial" w:hAnsi="Rockwell" w:cs="Arial"/>
          <w:sz w:val="24"/>
          <w:szCs w:val="24"/>
        </w:rPr>
        <w:t xml:space="preserve">plus de deux (2) marchés </w:t>
      </w:r>
      <w:r w:rsidRPr="00B96DAE">
        <w:rPr>
          <w:rFonts w:ascii="Rockwell" w:eastAsia="Arial" w:hAnsi="Rockwell" w:cs="Arial"/>
          <w:sz w:val="24"/>
          <w:szCs w:val="24"/>
        </w:rPr>
        <w:t>à un même prestataire par demande de cotations</w:t>
      </w:r>
      <w:r w:rsidR="00C227AB" w:rsidRPr="00B96DAE">
        <w:rPr>
          <w:rFonts w:ascii="Rockwell" w:eastAsia="Arial" w:hAnsi="Rockwell" w:cs="Arial"/>
          <w:sz w:val="24"/>
          <w:szCs w:val="24"/>
        </w:rPr>
        <w:t xml:space="preserve"> au cours d’une même année budgétaire sauf dans les cas de reconductions de marchés, d’insuffisance de candidats exerçant dans le domaine concerné ou d’épuisement de la rotation.</w:t>
      </w:r>
      <w:r w:rsidR="00896B7A" w:rsidRPr="00B96DAE">
        <w:rPr>
          <w:rFonts w:ascii="Rockwell" w:eastAsia="Arial" w:hAnsi="Rockwell" w:cs="Arial"/>
          <w:sz w:val="24"/>
          <w:szCs w:val="24"/>
        </w:rPr>
        <w:t xml:space="preserve"> Enfin, l’article consacre</w:t>
      </w:r>
      <w:r w:rsidR="000810DA" w:rsidRPr="00B96DAE">
        <w:rPr>
          <w:rFonts w:ascii="Rockwell" w:eastAsia="Arial" w:hAnsi="Rockwell" w:cs="Arial"/>
          <w:sz w:val="24"/>
          <w:szCs w:val="24"/>
        </w:rPr>
        <w:t xml:space="preserve"> </w:t>
      </w:r>
      <w:r w:rsidR="00896B7A" w:rsidRPr="00B96DAE">
        <w:rPr>
          <w:rFonts w:ascii="Rockwell" w:eastAsia="Arial" w:hAnsi="Rockwell" w:cs="Arial"/>
          <w:sz w:val="24"/>
          <w:szCs w:val="24"/>
        </w:rPr>
        <w:t>également un délai minimum de trois (3) jours calendaires pour le dépôt des offres</w:t>
      </w:r>
      <w:r w:rsidR="000810DA" w:rsidRPr="00B96DAE">
        <w:rPr>
          <w:rFonts w:ascii="Rockwell" w:eastAsia="Arial" w:hAnsi="Rockwell" w:cs="Arial"/>
          <w:sz w:val="24"/>
          <w:szCs w:val="24"/>
        </w:rPr>
        <w:t xml:space="preserve"> et interdit de la participation des entreprises défaillantes à la demande de cotations</w:t>
      </w:r>
      <w:r w:rsidR="00896B7A" w:rsidRPr="00B96DAE">
        <w:rPr>
          <w:rFonts w:ascii="Rockwell" w:eastAsia="Arial" w:hAnsi="Rockwell" w:cs="Arial"/>
          <w:sz w:val="24"/>
          <w:szCs w:val="24"/>
        </w:rPr>
        <w:t>.</w:t>
      </w:r>
    </w:p>
    <w:p w14:paraId="186E8C3F" w14:textId="5B608688" w:rsidR="00372172" w:rsidRPr="00B96DAE" w:rsidRDefault="000810DA"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w:t>
      </w:r>
      <w:r w:rsidR="0074593E" w:rsidRPr="00B96DAE">
        <w:rPr>
          <w:rFonts w:ascii="Rockwell" w:eastAsia="Arial" w:hAnsi="Rockwell" w:cs="Arial"/>
          <w:b/>
          <w:sz w:val="24"/>
          <w:szCs w:val="24"/>
        </w:rPr>
        <w:t>90</w:t>
      </w:r>
      <w:r w:rsidRPr="00B96DAE">
        <w:rPr>
          <w:rFonts w:ascii="Rockwell" w:eastAsia="Arial" w:hAnsi="Rockwell" w:cs="Arial"/>
          <w:b/>
          <w:sz w:val="24"/>
          <w:szCs w:val="24"/>
        </w:rPr>
        <w:t xml:space="preserve"> (</w:t>
      </w:r>
      <w:r w:rsidR="00A70C85" w:rsidRPr="00B96DAE">
        <w:rPr>
          <w:rFonts w:ascii="Rockwell" w:eastAsia="Arial" w:hAnsi="Rockwell" w:cs="Arial"/>
          <w:b/>
          <w:sz w:val="24"/>
          <w:szCs w:val="24"/>
        </w:rPr>
        <w:t xml:space="preserve">ancien </w:t>
      </w:r>
      <w:r w:rsidRPr="00B96DAE">
        <w:rPr>
          <w:rFonts w:ascii="Rockwell" w:eastAsia="Arial" w:hAnsi="Rockwell" w:cs="Arial"/>
          <w:b/>
          <w:sz w:val="24"/>
          <w:szCs w:val="24"/>
        </w:rPr>
        <w:t>art</w:t>
      </w:r>
      <w:r w:rsidR="00AC5C89">
        <w:rPr>
          <w:rFonts w:ascii="Rockwell" w:eastAsia="Arial" w:hAnsi="Rockwell" w:cs="Arial"/>
          <w:b/>
          <w:sz w:val="24"/>
          <w:szCs w:val="24"/>
        </w:rPr>
        <w:t>icle</w:t>
      </w:r>
      <w:r w:rsidRPr="00B96DAE">
        <w:rPr>
          <w:rFonts w:ascii="Rockwell" w:eastAsia="Arial" w:hAnsi="Rockwell" w:cs="Arial"/>
          <w:b/>
          <w:sz w:val="24"/>
          <w:szCs w:val="24"/>
        </w:rPr>
        <w:t xml:space="preserve"> </w:t>
      </w:r>
      <w:r w:rsidR="00A70C85" w:rsidRPr="00B96DAE">
        <w:rPr>
          <w:rFonts w:ascii="Rockwell" w:eastAsia="Arial" w:hAnsi="Rockwell" w:cs="Arial"/>
          <w:b/>
          <w:sz w:val="24"/>
          <w:szCs w:val="24"/>
        </w:rPr>
        <w:t>75</w:t>
      </w:r>
      <w:r w:rsidRPr="00B96DAE">
        <w:rPr>
          <w:rFonts w:ascii="Rockwell" w:eastAsia="Arial" w:hAnsi="Rockwell" w:cs="Arial"/>
          <w:b/>
          <w:sz w:val="24"/>
          <w:szCs w:val="24"/>
        </w:rPr>
        <w:t>) :</w:t>
      </w:r>
      <w:r w:rsidRPr="00B96DAE">
        <w:rPr>
          <w:rFonts w:ascii="Rockwell" w:eastAsia="Arial" w:hAnsi="Rockwell" w:cs="Arial"/>
          <w:sz w:val="24"/>
          <w:szCs w:val="24"/>
        </w:rPr>
        <w:t xml:space="preserve"> </w:t>
      </w:r>
      <w:r w:rsidR="00A70C85" w:rsidRPr="00B96DAE">
        <w:rPr>
          <w:rFonts w:ascii="Rockwell" w:eastAsia="Arial" w:hAnsi="Rockwell" w:cs="Arial"/>
          <w:sz w:val="24"/>
          <w:szCs w:val="24"/>
        </w:rPr>
        <w:t xml:space="preserve">une </w:t>
      </w:r>
      <w:r w:rsidRPr="00B96DAE">
        <w:rPr>
          <w:rFonts w:ascii="Rockwell" w:eastAsia="Arial" w:hAnsi="Rockwell" w:cs="Arial"/>
          <w:sz w:val="24"/>
          <w:szCs w:val="24"/>
        </w:rPr>
        <w:t>nouvelle condition de recours à l’</w:t>
      </w:r>
      <w:r w:rsidR="00A70C85" w:rsidRPr="00B96DAE">
        <w:rPr>
          <w:rFonts w:ascii="Rockwell" w:eastAsia="Arial" w:hAnsi="Rockwell" w:cs="Arial"/>
          <w:sz w:val="24"/>
          <w:szCs w:val="24"/>
        </w:rPr>
        <w:t xml:space="preserve">entente direct a été ajoutée </w:t>
      </w:r>
      <w:r w:rsidRPr="00B96DAE">
        <w:rPr>
          <w:rFonts w:ascii="Rockwell" w:eastAsia="Arial" w:hAnsi="Rockwell" w:cs="Arial"/>
          <w:sz w:val="24"/>
          <w:szCs w:val="24"/>
        </w:rPr>
        <w:t>notamment pour l’acquisition du matériel roulant lorsque le montant prévisionnel est inférieur ou égal à 250 000 000 FCFA.</w:t>
      </w:r>
      <w:r w:rsidR="00A70C85" w:rsidRPr="00B96DAE">
        <w:rPr>
          <w:rFonts w:ascii="Rockwell" w:eastAsia="Arial" w:hAnsi="Rockwell" w:cs="Arial"/>
          <w:sz w:val="24"/>
          <w:szCs w:val="24"/>
        </w:rPr>
        <w:t xml:space="preserve"> Aussi, la condition de recours à l’entente directe liée à l’infructuosité de la </w:t>
      </w:r>
      <w:r w:rsidRPr="00B96DAE">
        <w:rPr>
          <w:rFonts w:ascii="Rockwell" w:eastAsia="Arial" w:hAnsi="Rockwell" w:cs="Arial"/>
          <w:sz w:val="24"/>
          <w:szCs w:val="24"/>
        </w:rPr>
        <w:t xml:space="preserve">procédure de demande de cotation est </w:t>
      </w:r>
      <w:r w:rsidR="00A70C85" w:rsidRPr="00B96DAE">
        <w:rPr>
          <w:rFonts w:ascii="Rockwell" w:eastAsia="Arial" w:hAnsi="Rockwell" w:cs="Arial"/>
          <w:sz w:val="24"/>
          <w:szCs w:val="24"/>
        </w:rPr>
        <w:t>supprimée.</w:t>
      </w:r>
    </w:p>
    <w:p w14:paraId="0E42E409" w14:textId="3FC8D744" w:rsidR="00372172" w:rsidRPr="00B96DAE" w:rsidRDefault="00372172"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98</w:t>
      </w:r>
      <w:r w:rsidRPr="00B96DAE">
        <w:rPr>
          <w:rFonts w:ascii="Rockwell" w:eastAsia="Arial" w:hAnsi="Rockwell" w:cs="Arial"/>
          <w:sz w:val="24"/>
          <w:szCs w:val="24"/>
        </w:rPr>
        <w:t xml:space="preserve"> (</w:t>
      </w:r>
      <w:r w:rsidR="003F3D17" w:rsidRPr="00B96DAE">
        <w:rPr>
          <w:rFonts w:ascii="Rockwell" w:eastAsia="Arial" w:hAnsi="Rockwell" w:cs="Arial"/>
          <w:b/>
          <w:sz w:val="24"/>
          <w:szCs w:val="24"/>
        </w:rPr>
        <w:t>ancien articl</w:t>
      </w:r>
      <w:r w:rsidR="003F3D17" w:rsidRPr="00AC5C89">
        <w:rPr>
          <w:rFonts w:ascii="Rockwell" w:eastAsia="Arial" w:hAnsi="Rockwell" w:cs="Arial"/>
          <w:b/>
          <w:sz w:val="24"/>
          <w:szCs w:val="24"/>
        </w:rPr>
        <w:t xml:space="preserve">e </w:t>
      </w:r>
      <w:r w:rsidRPr="00AC5C89">
        <w:rPr>
          <w:rFonts w:ascii="Rockwell" w:eastAsia="Arial" w:hAnsi="Rockwell" w:cs="Arial"/>
          <w:b/>
          <w:sz w:val="24"/>
          <w:szCs w:val="24"/>
        </w:rPr>
        <w:t>83) </w:t>
      </w:r>
      <w:r w:rsidRPr="00B96DAE">
        <w:rPr>
          <w:rFonts w:ascii="Rockwell" w:eastAsia="Arial" w:hAnsi="Rockwell" w:cs="Arial"/>
          <w:sz w:val="24"/>
          <w:szCs w:val="24"/>
        </w:rPr>
        <w:t>: l’ajout d’un alinéa pour interdire la limitation du nombre de lot à attribuer à un même soumissionnaire sauf sur autorisation de l’entité administrative chargée du contrôle a priori de la commande publique.</w:t>
      </w:r>
    </w:p>
    <w:p w14:paraId="405D948C" w14:textId="77777777" w:rsidR="005130BF" w:rsidRPr="00B96DAE" w:rsidRDefault="00372172"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102</w:t>
      </w:r>
      <w:r w:rsidRPr="00B96DAE">
        <w:rPr>
          <w:rFonts w:ascii="Rockwell" w:eastAsia="Arial" w:hAnsi="Rockwell" w:cs="Arial"/>
          <w:sz w:val="24"/>
          <w:szCs w:val="24"/>
        </w:rPr>
        <w:t> : la définition des modalités d’exigence des labels dans les marchés publics à travers les spécifications techniques.</w:t>
      </w:r>
    </w:p>
    <w:p w14:paraId="1AA7B3DF" w14:textId="147EC6A2" w:rsidR="005130BF" w:rsidRPr="00B96DAE" w:rsidRDefault="00372172"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102</w:t>
      </w:r>
      <w:r w:rsidRPr="00B96DAE">
        <w:rPr>
          <w:rFonts w:ascii="Rockwell" w:eastAsia="Arial" w:hAnsi="Rockwell" w:cs="Arial"/>
          <w:sz w:val="24"/>
          <w:szCs w:val="24"/>
        </w:rPr>
        <w:t> (</w:t>
      </w:r>
      <w:r w:rsidR="003F3D17" w:rsidRPr="00B96DAE">
        <w:rPr>
          <w:rFonts w:ascii="Rockwell" w:eastAsia="Arial" w:hAnsi="Rockwell" w:cs="Arial"/>
          <w:b/>
          <w:sz w:val="24"/>
          <w:szCs w:val="24"/>
        </w:rPr>
        <w:t>ancien artic</w:t>
      </w:r>
      <w:r w:rsidR="003F3D17" w:rsidRPr="00AC5C89">
        <w:rPr>
          <w:rFonts w:ascii="Rockwell" w:eastAsia="Arial" w:hAnsi="Rockwell" w:cs="Arial"/>
          <w:b/>
          <w:sz w:val="24"/>
          <w:szCs w:val="24"/>
        </w:rPr>
        <w:t xml:space="preserve">le </w:t>
      </w:r>
      <w:r w:rsidRPr="00AC5C89">
        <w:rPr>
          <w:rFonts w:ascii="Rockwell" w:eastAsia="Arial" w:hAnsi="Rockwell" w:cs="Arial"/>
          <w:b/>
          <w:sz w:val="24"/>
          <w:szCs w:val="24"/>
        </w:rPr>
        <w:t>90)</w:t>
      </w:r>
      <w:r w:rsidRPr="00AC5C89">
        <w:rPr>
          <w:rFonts w:ascii="Rockwell" w:eastAsia="Times New Roman" w:hAnsi="Rockwell" w:cs="Times New Roman"/>
          <w:b/>
          <w:sz w:val="24"/>
          <w:szCs w:val="24"/>
        </w:rPr>
        <w:t> </w:t>
      </w:r>
      <w:r w:rsidRPr="00B96DAE">
        <w:rPr>
          <w:rFonts w:ascii="Rockwell" w:eastAsia="Arial" w:hAnsi="Rockwell" w:cs="Arial"/>
          <w:sz w:val="24"/>
          <w:szCs w:val="24"/>
        </w:rPr>
        <w:t>: l’introduction d’une dérogation permettant de reporter la date limite de dépôt des plis au-delà du délai réglementaire, sur autorisation</w:t>
      </w:r>
      <w:r w:rsidRPr="00B96DAE">
        <w:rPr>
          <w:rFonts w:ascii="Rockwell" w:eastAsia="Times New Roman" w:hAnsi="Rockwell" w:cs="Times New Roman"/>
          <w:sz w:val="24"/>
          <w:szCs w:val="24"/>
        </w:rPr>
        <w:t xml:space="preserve"> </w:t>
      </w:r>
      <w:r w:rsidRPr="00B96DAE">
        <w:rPr>
          <w:rFonts w:ascii="Rockwell" w:eastAsia="Arial" w:hAnsi="Rockwell" w:cs="Arial"/>
          <w:sz w:val="24"/>
          <w:szCs w:val="24"/>
        </w:rPr>
        <w:t>écrite de l’entité administrative chargée du contrôle a priori de la commande publique, pour des raisons d’efficacité</w:t>
      </w:r>
      <w:r w:rsidR="005130BF" w:rsidRPr="00B96DAE">
        <w:rPr>
          <w:rFonts w:ascii="Rockwell" w:eastAsia="Arial" w:hAnsi="Rockwell" w:cs="Arial"/>
          <w:sz w:val="24"/>
          <w:szCs w:val="24"/>
        </w:rPr>
        <w:t>.</w:t>
      </w:r>
    </w:p>
    <w:p w14:paraId="6E8F08D2" w14:textId="55CF60CB" w:rsidR="00E46300" w:rsidRPr="00B96DAE" w:rsidRDefault="00E46300"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109</w:t>
      </w:r>
      <w:r w:rsidRPr="00B96DAE">
        <w:rPr>
          <w:rFonts w:ascii="Rockwell" w:eastAsia="Arial" w:hAnsi="Rockwell" w:cs="Arial"/>
          <w:sz w:val="24"/>
          <w:szCs w:val="24"/>
        </w:rPr>
        <w:t> : la prise en compte des compagnies d’assurance pour la délivrance des garanties financières. Aussi, la possibilité pour un soumissionnaire de produire une déclaration de garantie au titre de la garantie de soumission.</w:t>
      </w:r>
    </w:p>
    <w:p w14:paraId="6947C144" w14:textId="77777777" w:rsidR="00EF64BD" w:rsidRPr="00B96DAE" w:rsidRDefault="00372172"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w:t>
      </w:r>
      <w:r w:rsidR="00E46300" w:rsidRPr="00B96DAE">
        <w:rPr>
          <w:rFonts w:ascii="Rockwell" w:eastAsia="Arial" w:hAnsi="Rockwell" w:cs="Arial"/>
          <w:b/>
          <w:sz w:val="24"/>
          <w:szCs w:val="24"/>
        </w:rPr>
        <w:t>11</w:t>
      </w:r>
      <w:r w:rsidRPr="00B96DAE">
        <w:rPr>
          <w:rFonts w:ascii="Rockwell" w:eastAsia="Arial" w:hAnsi="Rockwell" w:cs="Arial"/>
          <w:sz w:val="24"/>
          <w:szCs w:val="24"/>
        </w:rPr>
        <w:t> : l’obligation pour tout candidat à une procédure de marché public, de vérifier la sincérité de toutes les pièces justificatives insérées dans son offre</w:t>
      </w:r>
      <w:r w:rsidR="005130BF" w:rsidRPr="00B96DAE">
        <w:rPr>
          <w:rFonts w:ascii="Rockwell" w:eastAsia="Arial" w:hAnsi="Rockwell" w:cs="Arial"/>
          <w:sz w:val="24"/>
          <w:szCs w:val="24"/>
        </w:rPr>
        <w:t>. Cela lui rend ainsi responsable du contenu de son offre.</w:t>
      </w:r>
    </w:p>
    <w:p w14:paraId="7E3056A0" w14:textId="727E10E8" w:rsidR="00F10227" w:rsidRPr="00B96DAE" w:rsidRDefault="00EF64B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lastRenderedPageBreak/>
        <w:t>Article 11</w:t>
      </w:r>
      <w:r w:rsidR="00F10227" w:rsidRPr="00B96DAE">
        <w:rPr>
          <w:rFonts w:ascii="Rockwell" w:eastAsia="Arial" w:hAnsi="Rockwell" w:cs="Arial"/>
          <w:b/>
          <w:sz w:val="24"/>
          <w:szCs w:val="24"/>
        </w:rPr>
        <w:t>6</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3F3D17" w:rsidRPr="00B96DAE">
        <w:rPr>
          <w:rFonts w:ascii="Rockwell" w:eastAsia="Arial" w:hAnsi="Rockwell" w:cs="Arial"/>
          <w:b/>
          <w:sz w:val="24"/>
          <w:szCs w:val="24"/>
        </w:rPr>
        <w:t>ancien articl</w:t>
      </w:r>
      <w:r w:rsidR="003F3D17" w:rsidRPr="00AC5C89">
        <w:rPr>
          <w:rFonts w:ascii="Rockwell" w:eastAsia="Arial" w:hAnsi="Rockwell" w:cs="Arial"/>
          <w:b/>
          <w:sz w:val="24"/>
          <w:szCs w:val="24"/>
        </w:rPr>
        <w:t xml:space="preserve">e </w:t>
      </w:r>
      <w:r w:rsidR="00F10227" w:rsidRPr="00AC5C89">
        <w:rPr>
          <w:rFonts w:ascii="Rockwell" w:eastAsia="Arial" w:hAnsi="Rockwell" w:cs="Arial"/>
          <w:b/>
          <w:sz w:val="24"/>
          <w:szCs w:val="24"/>
        </w:rPr>
        <w:t>91</w:t>
      </w:r>
      <w:r w:rsidRPr="00AC5C89">
        <w:rPr>
          <w:rFonts w:ascii="Rockwell" w:eastAsia="Arial" w:hAnsi="Rockwell" w:cs="Arial"/>
          <w:b/>
          <w:sz w:val="24"/>
          <w:szCs w:val="24"/>
        </w:rPr>
        <w:t>)</w:t>
      </w:r>
      <w:r w:rsidRPr="00B96DAE">
        <w:rPr>
          <w:rFonts w:ascii="Rockwell" w:eastAsia="Arial" w:hAnsi="Rockwell" w:cs="Arial"/>
          <w:b/>
          <w:sz w:val="24"/>
          <w:szCs w:val="24"/>
        </w:rPr>
        <w:t> </w:t>
      </w:r>
      <w:r w:rsidRPr="00B96DAE">
        <w:rPr>
          <w:rFonts w:ascii="Rockwell" w:eastAsia="Arial" w:hAnsi="Rockwell" w:cs="Arial"/>
          <w:sz w:val="24"/>
          <w:szCs w:val="24"/>
        </w:rPr>
        <w:t>: l’autorisation de complément des éléments de candidature et de qualification après la date limite de dépôt des plis.</w:t>
      </w:r>
    </w:p>
    <w:p w14:paraId="118625B6" w14:textId="0E32A42E" w:rsidR="00BA76CE" w:rsidRPr="00B96DAE" w:rsidRDefault="00EF64B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11</w:t>
      </w:r>
      <w:r w:rsidR="00F10227" w:rsidRPr="00B96DAE">
        <w:rPr>
          <w:rFonts w:ascii="Rockwell" w:eastAsia="Arial" w:hAnsi="Rockwell" w:cs="Arial"/>
          <w:b/>
          <w:sz w:val="24"/>
          <w:szCs w:val="24"/>
        </w:rPr>
        <w:t>7</w:t>
      </w:r>
      <w:r w:rsidRPr="00B96DAE">
        <w:rPr>
          <w:rFonts w:ascii="Rockwell" w:eastAsia="Arial" w:hAnsi="Rockwell" w:cs="Arial"/>
          <w:sz w:val="24"/>
          <w:szCs w:val="24"/>
        </w:rPr>
        <w:t xml:space="preserve"> : l’extension de la recevabilité des manifestations d’intérêts et de dossiers de </w:t>
      </w:r>
      <w:proofErr w:type="spellStart"/>
      <w:r w:rsidR="007515FD" w:rsidRPr="00B96DAE">
        <w:rPr>
          <w:rFonts w:ascii="Rockwell" w:eastAsia="Arial" w:hAnsi="Rockwell" w:cs="Arial"/>
          <w:sz w:val="24"/>
          <w:szCs w:val="24"/>
        </w:rPr>
        <w:t>pré</w:t>
      </w:r>
      <w:r w:rsidR="007515FD">
        <w:rPr>
          <w:rFonts w:ascii="Rockwell" w:eastAsia="Arial" w:hAnsi="Rockwell" w:cs="Arial"/>
          <w:sz w:val="24"/>
          <w:szCs w:val="24"/>
        </w:rPr>
        <w:t>-</w:t>
      </w:r>
      <w:r w:rsidR="007515FD" w:rsidRPr="00B96DAE">
        <w:rPr>
          <w:rFonts w:ascii="Rockwell" w:eastAsia="Arial" w:hAnsi="Rockwell" w:cs="Arial"/>
          <w:sz w:val="24"/>
          <w:szCs w:val="24"/>
        </w:rPr>
        <w:t>qualification</w:t>
      </w:r>
      <w:proofErr w:type="spellEnd"/>
      <w:r w:rsidRPr="00B96DAE">
        <w:rPr>
          <w:rFonts w:ascii="Rockwell" w:eastAsia="Arial" w:hAnsi="Rockwell" w:cs="Arial"/>
          <w:sz w:val="24"/>
          <w:szCs w:val="24"/>
        </w:rPr>
        <w:t xml:space="preserve"> au-delà de l’heure limite de dépôt des plis dans les limites de quarante-huit heures</w:t>
      </w:r>
      <w:r w:rsidR="00BA76CE" w:rsidRPr="00B96DAE">
        <w:rPr>
          <w:rFonts w:ascii="Rockwell" w:eastAsia="Arial" w:hAnsi="Rockwell" w:cs="Arial"/>
          <w:sz w:val="24"/>
          <w:szCs w:val="24"/>
        </w:rPr>
        <w:t xml:space="preserve"> après l’ouverture des plis</w:t>
      </w:r>
      <w:r w:rsidRPr="00B96DAE">
        <w:rPr>
          <w:rFonts w:ascii="Rockwell" w:eastAsia="Arial" w:hAnsi="Rockwell" w:cs="Arial"/>
          <w:sz w:val="24"/>
          <w:szCs w:val="24"/>
        </w:rPr>
        <w:t>, à condition que la commission d’évaluation n’ait pas encore délibérée</w:t>
      </w:r>
      <w:r w:rsidR="00F10227" w:rsidRPr="00B96DAE">
        <w:rPr>
          <w:rFonts w:ascii="Rockwell" w:eastAsia="Arial" w:hAnsi="Rockwell" w:cs="Arial"/>
          <w:sz w:val="24"/>
          <w:szCs w:val="24"/>
        </w:rPr>
        <w:t>.</w:t>
      </w:r>
    </w:p>
    <w:p w14:paraId="7C61B9D8" w14:textId="52541771" w:rsidR="00A65CDD" w:rsidRPr="00B96DAE" w:rsidRDefault="00EF64B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12</w:t>
      </w:r>
      <w:r w:rsidR="00BD2655" w:rsidRPr="00B96DAE">
        <w:rPr>
          <w:rFonts w:ascii="Rockwell" w:eastAsia="Arial" w:hAnsi="Rockwell" w:cs="Arial"/>
          <w:b/>
          <w:sz w:val="24"/>
          <w:szCs w:val="24"/>
        </w:rPr>
        <w:t>5</w:t>
      </w:r>
      <w:r w:rsidRPr="00B96DAE">
        <w:rPr>
          <w:rFonts w:ascii="Rockwell" w:eastAsia="Arial" w:hAnsi="Rockwell" w:cs="Arial"/>
          <w:sz w:val="24"/>
          <w:szCs w:val="24"/>
        </w:rPr>
        <w:t xml:space="preserve"> (</w:t>
      </w:r>
      <w:r w:rsidR="003F3D17" w:rsidRPr="00B96DAE">
        <w:rPr>
          <w:rFonts w:ascii="Rockwell" w:eastAsia="Arial" w:hAnsi="Rockwell" w:cs="Arial"/>
          <w:b/>
          <w:sz w:val="24"/>
          <w:szCs w:val="24"/>
        </w:rPr>
        <w:t>ancien artic</w:t>
      </w:r>
      <w:r w:rsidR="003F3D17" w:rsidRPr="00AC5C89">
        <w:rPr>
          <w:rFonts w:ascii="Rockwell" w:eastAsia="Arial" w:hAnsi="Rockwell" w:cs="Arial"/>
          <w:b/>
          <w:sz w:val="24"/>
          <w:szCs w:val="24"/>
        </w:rPr>
        <w:t xml:space="preserve">le </w:t>
      </w:r>
      <w:r w:rsidRPr="00AC5C89">
        <w:rPr>
          <w:rFonts w:ascii="Rockwell" w:eastAsia="Arial" w:hAnsi="Rockwell" w:cs="Arial"/>
          <w:b/>
          <w:sz w:val="24"/>
          <w:szCs w:val="24"/>
        </w:rPr>
        <w:t>108)</w:t>
      </w:r>
      <w:r w:rsidRPr="00B96DAE">
        <w:rPr>
          <w:rFonts w:ascii="Rockwell" w:eastAsia="Arial" w:hAnsi="Rockwell" w:cs="Arial"/>
          <w:sz w:val="24"/>
          <w:szCs w:val="24"/>
        </w:rPr>
        <w:t xml:space="preserve"> : le changement du régime applicable aux offres anormalement basses. </w:t>
      </w:r>
      <w:r w:rsidR="00BD2655" w:rsidRPr="00B96DAE">
        <w:rPr>
          <w:rFonts w:ascii="Rockwell" w:eastAsia="Arial" w:hAnsi="Rockwell" w:cs="Arial"/>
          <w:sz w:val="24"/>
          <w:szCs w:val="24"/>
        </w:rPr>
        <w:t xml:space="preserve">Les offres techniquement conformes et hors enveloppe et les offres financières en deçà de 50% du montant prévisionnel sont écartées avant l’application de la formule des offres anormalement basses. </w:t>
      </w:r>
      <w:r w:rsidR="00A65CDD" w:rsidRPr="00B96DAE">
        <w:rPr>
          <w:rFonts w:ascii="Rockwell" w:eastAsia="Arial" w:hAnsi="Rockwell" w:cs="Arial"/>
          <w:sz w:val="24"/>
          <w:szCs w:val="24"/>
        </w:rPr>
        <w:t xml:space="preserve">Aussi, la prise en compte d’un seuil de tolérance de 5% en deçà de la borne minimale et la possibilité d’augmenter le taux de la garantie de bonne exécution entre trente pour cent (30%) et quarante pour cent (40%) pour les offres concernées par ce seuil de tolérance. </w:t>
      </w:r>
      <w:r w:rsidRPr="00B96DAE">
        <w:rPr>
          <w:rFonts w:ascii="Rockwell" w:eastAsia="Arial" w:hAnsi="Rockwell" w:cs="Arial"/>
          <w:sz w:val="24"/>
          <w:szCs w:val="24"/>
        </w:rPr>
        <w:t>Ce taux est fixé à l’avance dans le dossier d’appel à concurrence.</w:t>
      </w:r>
      <w:r w:rsidR="00412307" w:rsidRPr="00B96DAE">
        <w:rPr>
          <w:rFonts w:ascii="Rockwell" w:eastAsia="Arial" w:hAnsi="Rockwell" w:cs="Arial"/>
          <w:sz w:val="24"/>
          <w:szCs w:val="24"/>
        </w:rPr>
        <w:t xml:space="preserve"> Enfin, il y a eu la précision que la formule de détermination des offres anormalement basses ne s’applique pas dans les procédures de prestations intellectuelles.</w:t>
      </w:r>
    </w:p>
    <w:p w14:paraId="2021A6A2" w14:textId="165C70BD" w:rsidR="00EF64BD" w:rsidRPr="00B96DAE" w:rsidRDefault="00EF64B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12</w:t>
      </w:r>
      <w:r w:rsidR="00412307" w:rsidRPr="00B96DAE">
        <w:rPr>
          <w:rFonts w:ascii="Rockwell" w:eastAsia="Arial" w:hAnsi="Rockwell" w:cs="Arial"/>
          <w:b/>
          <w:sz w:val="24"/>
          <w:szCs w:val="24"/>
        </w:rPr>
        <w:t>6</w:t>
      </w:r>
      <w:r w:rsidR="00A65CDD" w:rsidRPr="00B96DAE">
        <w:rPr>
          <w:rFonts w:ascii="Rockwell" w:eastAsia="Arial" w:hAnsi="Rockwell" w:cs="Arial"/>
          <w:b/>
          <w:sz w:val="24"/>
          <w:szCs w:val="24"/>
        </w:rPr>
        <w:t xml:space="preserve"> </w:t>
      </w:r>
      <w:r w:rsidRPr="00B96DAE">
        <w:rPr>
          <w:rFonts w:ascii="Rockwell" w:eastAsia="Arial" w:hAnsi="Rockwell" w:cs="Arial"/>
          <w:b/>
          <w:sz w:val="24"/>
          <w:szCs w:val="24"/>
        </w:rPr>
        <w:t xml:space="preserve">: </w:t>
      </w:r>
      <w:r w:rsidRPr="00B96DAE">
        <w:rPr>
          <w:rFonts w:ascii="Rockwell" w:eastAsia="Arial" w:hAnsi="Rockwell" w:cs="Arial"/>
          <w:sz w:val="24"/>
          <w:szCs w:val="24"/>
        </w:rPr>
        <w:t>la prise en compte des modalités d’appréciation des offres déséquilibrées</w:t>
      </w:r>
      <w:r w:rsidR="00A65CDD" w:rsidRPr="00B96DAE">
        <w:rPr>
          <w:rFonts w:ascii="Rockwell" w:eastAsia="Arial" w:hAnsi="Rockwell" w:cs="Arial"/>
          <w:sz w:val="24"/>
          <w:szCs w:val="24"/>
        </w:rPr>
        <w:t xml:space="preserve"> et </w:t>
      </w:r>
      <w:r w:rsidR="00B40AA8" w:rsidRPr="00B96DAE">
        <w:rPr>
          <w:rFonts w:ascii="Rockwell" w:eastAsia="Arial" w:hAnsi="Rockwell" w:cs="Arial"/>
          <w:sz w:val="24"/>
          <w:szCs w:val="24"/>
        </w:rPr>
        <w:t xml:space="preserve">leur </w:t>
      </w:r>
      <w:r w:rsidRPr="00B96DAE">
        <w:rPr>
          <w:rFonts w:ascii="Rockwell" w:eastAsia="Arial" w:hAnsi="Rockwell" w:cs="Arial"/>
          <w:sz w:val="24"/>
          <w:szCs w:val="24"/>
        </w:rPr>
        <w:t>encadrement</w:t>
      </w:r>
      <w:r w:rsidR="00B40AA8" w:rsidRPr="00B96DAE">
        <w:rPr>
          <w:rFonts w:ascii="Rockwell" w:eastAsia="Arial" w:hAnsi="Rockwell" w:cs="Arial"/>
          <w:sz w:val="24"/>
          <w:szCs w:val="24"/>
        </w:rPr>
        <w:t>.</w:t>
      </w:r>
    </w:p>
    <w:p w14:paraId="002BE74B" w14:textId="77777777" w:rsidR="001F507C" w:rsidRDefault="003F3D17"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141</w:t>
      </w:r>
      <w:r w:rsidR="00D439B6" w:rsidRPr="00B96DAE">
        <w:rPr>
          <w:rFonts w:ascii="Rockwell" w:eastAsia="Arial" w:hAnsi="Rockwell" w:cs="Arial"/>
          <w:b/>
          <w:sz w:val="24"/>
          <w:szCs w:val="24"/>
        </w:rPr>
        <w:t>, alinéa 1</w:t>
      </w:r>
      <w:r w:rsidRPr="00B96DAE">
        <w:rPr>
          <w:rFonts w:ascii="Rockwell" w:eastAsia="Arial" w:hAnsi="Rockwell" w:cs="Arial"/>
          <w:b/>
          <w:sz w:val="24"/>
          <w:szCs w:val="24"/>
        </w:rPr>
        <w:t xml:space="preserve"> : </w:t>
      </w:r>
      <w:r w:rsidRPr="00B96DAE">
        <w:rPr>
          <w:rFonts w:ascii="Rockwell" w:eastAsia="Arial" w:hAnsi="Rockwell" w:cs="Arial"/>
          <w:sz w:val="24"/>
          <w:szCs w:val="24"/>
        </w:rPr>
        <w:t xml:space="preserve">la </w:t>
      </w:r>
      <w:r w:rsidR="00D439B6" w:rsidRPr="00B96DAE">
        <w:rPr>
          <w:rFonts w:ascii="Rockwell" w:eastAsia="Arial" w:hAnsi="Rockwell" w:cs="Arial"/>
          <w:sz w:val="24"/>
          <w:szCs w:val="24"/>
        </w:rPr>
        <w:t>précision sur la composition de la commission chargée de la négociation des marchés de prestations intellectuelles.</w:t>
      </w:r>
    </w:p>
    <w:p w14:paraId="099F7A5D" w14:textId="0DCF7991" w:rsidR="001F507C" w:rsidRPr="001F507C" w:rsidRDefault="001F507C"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1F507C">
        <w:rPr>
          <w:rFonts w:ascii="Rockwell" w:eastAsia="Arial" w:hAnsi="Rockwell" w:cs="Arial"/>
          <w:b/>
          <w:bCs/>
          <w:sz w:val="24"/>
          <w:szCs w:val="24"/>
        </w:rPr>
        <w:t>Article 14</w:t>
      </w:r>
      <w:r>
        <w:rPr>
          <w:rFonts w:ascii="Rockwell" w:eastAsia="Arial" w:hAnsi="Rockwell" w:cs="Arial"/>
          <w:b/>
          <w:bCs/>
          <w:sz w:val="24"/>
          <w:szCs w:val="24"/>
        </w:rPr>
        <w:t>8</w:t>
      </w:r>
      <w:r w:rsidRPr="001F507C">
        <w:rPr>
          <w:rFonts w:ascii="Rockwell" w:eastAsia="Arial" w:hAnsi="Rockwell" w:cs="Arial"/>
          <w:b/>
          <w:bCs/>
          <w:sz w:val="24"/>
          <w:szCs w:val="24"/>
        </w:rPr>
        <w:t xml:space="preserve"> :</w:t>
      </w:r>
      <w:r w:rsidRPr="001F507C">
        <w:rPr>
          <w:rFonts w:ascii="Rockwell" w:eastAsia="Arial" w:hAnsi="Rockwell" w:cs="Arial"/>
          <w:sz w:val="24"/>
          <w:szCs w:val="24"/>
        </w:rPr>
        <w:t xml:space="preserve"> en vue de capitaliser le décret modification </w:t>
      </w:r>
      <w:r>
        <w:rPr>
          <w:rFonts w:ascii="Rockwell" w:eastAsia="Arial" w:hAnsi="Rockwell" w:cs="Arial"/>
          <w:sz w:val="24"/>
          <w:szCs w:val="24"/>
        </w:rPr>
        <w:t xml:space="preserve">de 2023 </w:t>
      </w:r>
      <w:r w:rsidRPr="001F507C">
        <w:rPr>
          <w:rFonts w:ascii="Rockwell" w:eastAsia="Arial" w:hAnsi="Rockwell" w:cs="Arial"/>
          <w:sz w:val="24"/>
          <w:szCs w:val="24"/>
        </w:rPr>
        <w:t>du décret 049 de 2023, des alinéas ont été ajoutés afin d’obliger les ordonnateurs des budgets à déléguer l’approbation des contrats suivant un seuil</w:t>
      </w:r>
      <w:r>
        <w:rPr>
          <w:rFonts w:ascii="Rockwell" w:eastAsia="Arial" w:hAnsi="Rockwell" w:cs="Arial"/>
          <w:sz w:val="24"/>
          <w:szCs w:val="24"/>
        </w:rPr>
        <w:t xml:space="preserve">. Des seuils ont été fixés pour </w:t>
      </w:r>
      <w:r w:rsidRPr="001F507C">
        <w:rPr>
          <w:rFonts w:ascii="Rockwell" w:eastAsia="Arial" w:hAnsi="Rockwell" w:cs="Arial"/>
          <w:sz w:val="24"/>
          <w:szCs w:val="24"/>
        </w:rPr>
        <w:t>le cas spécifique des projets et programmes nationaux de développement</w:t>
      </w:r>
      <w:r>
        <w:rPr>
          <w:rFonts w:ascii="Rockwell" w:eastAsia="Arial" w:hAnsi="Rockwell" w:cs="Arial"/>
          <w:sz w:val="24"/>
          <w:szCs w:val="24"/>
        </w:rPr>
        <w:t>.</w:t>
      </w:r>
    </w:p>
    <w:p w14:paraId="77A7FBEC" w14:textId="45E09BB3" w:rsidR="007539B5" w:rsidRPr="00B96DAE" w:rsidRDefault="00EF64B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15</w:t>
      </w:r>
      <w:r w:rsidR="004E3CB8" w:rsidRPr="00B96DAE">
        <w:rPr>
          <w:rFonts w:ascii="Rockwell" w:eastAsia="Arial" w:hAnsi="Rockwell" w:cs="Arial"/>
          <w:b/>
          <w:sz w:val="24"/>
          <w:szCs w:val="24"/>
        </w:rPr>
        <w:t>2</w:t>
      </w:r>
      <w:r w:rsidRPr="00B96DAE">
        <w:rPr>
          <w:rFonts w:ascii="Rockwell" w:eastAsia="Arial" w:hAnsi="Rockwell" w:cs="Arial"/>
          <w:b/>
          <w:sz w:val="24"/>
          <w:szCs w:val="24"/>
        </w:rPr>
        <w:t xml:space="preserve"> </w:t>
      </w:r>
      <w:r w:rsidRPr="00AC5C89">
        <w:rPr>
          <w:rFonts w:ascii="Rockwell" w:eastAsia="Arial" w:hAnsi="Rockwell" w:cs="Arial"/>
          <w:b/>
          <w:bCs/>
          <w:sz w:val="24"/>
          <w:szCs w:val="24"/>
        </w:rPr>
        <w:t>(</w:t>
      </w:r>
      <w:r w:rsidR="00AC5C89" w:rsidRPr="00AC5C89">
        <w:rPr>
          <w:rFonts w:ascii="Rockwell" w:eastAsia="Arial" w:hAnsi="Rockwell" w:cs="Arial"/>
          <w:b/>
          <w:bCs/>
          <w:sz w:val="24"/>
          <w:szCs w:val="24"/>
        </w:rPr>
        <w:t>ancien article</w:t>
      </w:r>
      <w:r w:rsidRPr="00AC5C89">
        <w:rPr>
          <w:rFonts w:ascii="Rockwell" w:eastAsia="Arial" w:hAnsi="Rockwell" w:cs="Arial"/>
          <w:b/>
          <w:bCs/>
          <w:sz w:val="24"/>
          <w:szCs w:val="24"/>
        </w:rPr>
        <w:t xml:space="preserve"> 134 al</w:t>
      </w:r>
      <w:r w:rsidR="00AC5C89" w:rsidRPr="00AC5C89">
        <w:rPr>
          <w:rFonts w:ascii="Rockwell" w:eastAsia="Arial" w:hAnsi="Rockwell" w:cs="Arial"/>
          <w:b/>
          <w:bCs/>
          <w:sz w:val="24"/>
          <w:szCs w:val="24"/>
        </w:rPr>
        <w:t>inéa</w:t>
      </w:r>
      <w:r w:rsidRPr="00AC5C89">
        <w:rPr>
          <w:rFonts w:ascii="Rockwell" w:eastAsia="Arial" w:hAnsi="Rockwell" w:cs="Arial"/>
          <w:b/>
          <w:bCs/>
          <w:sz w:val="24"/>
          <w:szCs w:val="24"/>
        </w:rPr>
        <w:t xml:space="preserve"> 3 et suivants) </w:t>
      </w:r>
      <w:r w:rsidRPr="00B96DAE">
        <w:rPr>
          <w:rFonts w:ascii="Rockwell" w:eastAsia="Arial" w:hAnsi="Rockwell" w:cs="Arial"/>
          <w:sz w:val="24"/>
          <w:szCs w:val="24"/>
        </w:rPr>
        <w:t xml:space="preserve">: </w:t>
      </w:r>
      <w:r w:rsidR="004E3CB8" w:rsidRPr="00B96DAE">
        <w:rPr>
          <w:rFonts w:ascii="Rockwell" w:eastAsia="Arial" w:hAnsi="Rockwell" w:cs="Arial"/>
          <w:sz w:val="24"/>
          <w:szCs w:val="24"/>
        </w:rPr>
        <w:t xml:space="preserve">L’interdiction de la reconduction d’un marché à commandes lorsque </w:t>
      </w:r>
      <w:r w:rsidR="00327FDB" w:rsidRPr="00B96DAE">
        <w:rPr>
          <w:rFonts w:ascii="Rockwell" w:eastAsia="Arial" w:hAnsi="Rockwell" w:cs="Arial"/>
          <w:sz w:val="24"/>
          <w:szCs w:val="24"/>
        </w:rPr>
        <w:t xml:space="preserve">son </w:t>
      </w:r>
      <w:r w:rsidR="004E3CB8" w:rsidRPr="00B96DAE">
        <w:rPr>
          <w:rFonts w:ascii="Rockwell" w:eastAsia="Arial" w:hAnsi="Rockwell" w:cs="Arial"/>
          <w:sz w:val="24"/>
          <w:szCs w:val="24"/>
        </w:rPr>
        <w:t xml:space="preserve">exécution pour son montant maximum s’est faite à travers l’émission d’une commande unique. </w:t>
      </w:r>
      <w:r w:rsidR="00327FDB" w:rsidRPr="00B96DAE">
        <w:rPr>
          <w:rFonts w:ascii="Rockwell" w:eastAsia="Arial" w:hAnsi="Rockwell" w:cs="Arial"/>
          <w:sz w:val="24"/>
          <w:szCs w:val="24"/>
        </w:rPr>
        <w:t xml:space="preserve">Aussi, </w:t>
      </w:r>
      <w:r w:rsidRPr="00B96DAE">
        <w:rPr>
          <w:rFonts w:ascii="Rockwell" w:eastAsia="Arial" w:hAnsi="Rockwell" w:cs="Arial"/>
          <w:sz w:val="24"/>
          <w:szCs w:val="24"/>
        </w:rPr>
        <w:t>l’ajout d’un alinéa (alinéa 3) pour interdire la reconduction de marchés à commandes conclus à l’issue de procédures exceptionnelles</w:t>
      </w:r>
      <w:r w:rsidR="00327FDB" w:rsidRPr="00B96DAE">
        <w:rPr>
          <w:rFonts w:ascii="Rockwell" w:eastAsia="Arial" w:hAnsi="Rockwell" w:cs="Arial"/>
          <w:sz w:val="24"/>
          <w:szCs w:val="24"/>
        </w:rPr>
        <w:t xml:space="preserve">, </w:t>
      </w:r>
      <w:proofErr w:type="gramStart"/>
      <w:r w:rsidR="00327FDB" w:rsidRPr="00B96DAE">
        <w:rPr>
          <w:rFonts w:ascii="Rockwell" w:eastAsia="Arial" w:hAnsi="Rockwell" w:cs="Arial"/>
          <w:sz w:val="24"/>
          <w:szCs w:val="24"/>
        </w:rPr>
        <w:t>sauf que</w:t>
      </w:r>
      <w:proofErr w:type="gramEnd"/>
      <w:r w:rsidR="00327FDB" w:rsidRPr="00B96DAE">
        <w:rPr>
          <w:rFonts w:ascii="Rockwell" w:eastAsia="Arial" w:hAnsi="Rockwell" w:cs="Arial"/>
          <w:sz w:val="24"/>
          <w:szCs w:val="24"/>
        </w:rPr>
        <w:t xml:space="preserve"> si les conditions qui avaient prévalu à sa conclusion subsistent</w:t>
      </w:r>
      <w:r w:rsidR="00B4238B" w:rsidRPr="00B96DAE">
        <w:rPr>
          <w:rFonts w:ascii="Rockwell" w:eastAsia="Arial" w:hAnsi="Rockwell" w:cs="Arial"/>
          <w:sz w:val="24"/>
          <w:szCs w:val="24"/>
        </w:rPr>
        <w:t>.</w:t>
      </w:r>
    </w:p>
    <w:p w14:paraId="28BE3A64" w14:textId="77777777" w:rsidR="007539B5" w:rsidRPr="00B96DAE" w:rsidRDefault="00472A2F"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Articles 158 à 160</w:t>
      </w:r>
      <w:r w:rsidRPr="00B96DAE">
        <w:rPr>
          <w:rFonts w:ascii="Rockwell" w:eastAsia="Arial" w:hAnsi="Rockwell" w:cs="Arial"/>
          <w:sz w:val="24"/>
          <w:szCs w:val="24"/>
        </w:rPr>
        <w:t> : la fixation des conditions d’exécution des marchés en lien notamment avec les achats publics durables.</w:t>
      </w:r>
    </w:p>
    <w:p w14:paraId="0B817A9C" w14:textId="77777777" w:rsidR="007539B5" w:rsidRPr="00B96DAE" w:rsidRDefault="00472A2F"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161</w:t>
      </w:r>
      <w:r w:rsidRPr="00B96DAE">
        <w:rPr>
          <w:rFonts w:ascii="Rockwell" w:eastAsia="Arial" w:hAnsi="Rockwell" w:cs="Arial"/>
          <w:sz w:val="24"/>
          <w:szCs w:val="24"/>
        </w:rPr>
        <w:t xml:space="preserve"> : la consécration de l’obligation pour l’autorité contractante de faire le suivi administratif de tout marché public, quelle que soit la nature de la prestation. L’article donne également un contenu indicatif dudit suivi en fonction de la nature de la prestation.</w:t>
      </w:r>
    </w:p>
    <w:p w14:paraId="66AAD225" w14:textId="6B90E764" w:rsidR="00EF64BD" w:rsidRPr="00B96DAE" w:rsidRDefault="00472A2F"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162</w:t>
      </w:r>
      <w:r w:rsidR="001001A1" w:rsidRPr="00B96DAE">
        <w:rPr>
          <w:rFonts w:ascii="Rockwell" w:eastAsia="Arial" w:hAnsi="Rockwell" w:cs="Arial"/>
          <w:b/>
          <w:sz w:val="24"/>
          <w:szCs w:val="24"/>
        </w:rPr>
        <w:t>, alinéa 4</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AC5C89">
        <w:rPr>
          <w:rFonts w:ascii="Rockwell" w:eastAsia="Arial" w:hAnsi="Rockwell" w:cs="Arial"/>
          <w:b/>
          <w:bCs/>
          <w:sz w:val="24"/>
          <w:szCs w:val="24"/>
        </w:rPr>
        <w:t>ancien artic</w:t>
      </w:r>
      <w:r w:rsidR="00AC5C89" w:rsidRPr="00AC5C89">
        <w:rPr>
          <w:rFonts w:ascii="Rockwell" w:eastAsia="Arial" w:hAnsi="Rockwell" w:cs="Arial"/>
          <w:b/>
          <w:bCs/>
          <w:sz w:val="24"/>
          <w:szCs w:val="24"/>
        </w:rPr>
        <w:t xml:space="preserve">le </w:t>
      </w:r>
      <w:r w:rsidRPr="00AC5C89">
        <w:rPr>
          <w:rFonts w:ascii="Rockwell" w:eastAsia="Arial" w:hAnsi="Rockwell" w:cs="Arial"/>
          <w:b/>
          <w:bCs/>
          <w:sz w:val="24"/>
          <w:szCs w:val="24"/>
        </w:rPr>
        <w:t>137)</w:t>
      </w:r>
      <w:r w:rsidRPr="00B96DAE">
        <w:rPr>
          <w:rFonts w:ascii="Rockwell" w:eastAsia="Arial" w:hAnsi="Rockwell" w:cs="Arial"/>
          <w:sz w:val="24"/>
          <w:szCs w:val="24"/>
        </w:rPr>
        <w:t xml:space="preserve"> : la précision des modalités de constitution de la garantie de bonne exécution dans les marchés à commandes. Il est prévu qu’elle soit constituée sur le montant maximum parce que c’est sur ce montant que le prestataire s’engage</w:t>
      </w:r>
      <w:r w:rsidR="001001A1" w:rsidRPr="00B96DAE">
        <w:rPr>
          <w:rFonts w:ascii="Rockwell" w:eastAsia="Arial" w:hAnsi="Rockwell" w:cs="Arial"/>
          <w:sz w:val="24"/>
          <w:szCs w:val="24"/>
        </w:rPr>
        <w:t>.</w:t>
      </w:r>
    </w:p>
    <w:p w14:paraId="72C85FDA" w14:textId="5B03E0CB" w:rsidR="00A76E15" w:rsidRPr="00B96DAE" w:rsidRDefault="00881384"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bCs/>
          <w:sz w:val="24"/>
          <w:szCs w:val="24"/>
        </w:rPr>
        <w:t xml:space="preserve">Article 162, alinéa 8 </w:t>
      </w:r>
      <w:r w:rsidR="00A76E15" w:rsidRPr="00B96DAE">
        <w:rPr>
          <w:rFonts w:ascii="Rockwell" w:eastAsia="Arial" w:hAnsi="Rockwell" w:cs="Arial"/>
          <w:b/>
          <w:bCs/>
          <w:sz w:val="24"/>
          <w:szCs w:val="24"/>
        </w:rPr>
        <w:t xml:space="preserve">(ancien </w:t>
      </w:r>
      <w:r w:rsidR="00AC5C89">
        <w:rPr>
          <w:rFonts w:ascii="Rockwell" w:eastAsia="Arial" w:hAnsi="Rockwell" w:cs="Arial"/>
          <w:b/>
          <w:bCs/>
          <w:sz w:val="24"/>
          <w:szCs w:val="24"/>
        </w:rPr>
        <w:t xml:space="preserve">article </w:t>
      </w:r>
      <w:r w:rsidR="00A76E15" w:rsidRPr="00B96DAE">
        <w:rPr>
          <w:rFonts w:ascii="Rockwell" w:eastAsia="Arial" w:hAnsi="Rockwell" w:cs="Arial"/>
          <w:b/>
          <w:bCs/>
          <w:sz w:val="24"/>
          <w:szCs w:val="24"/>
        </w:rPr>
        <w:t xml:space="preserve">151, alinéa 8) </w:t>
      </w:r>
      <w:r w:rsidRPr="00B96DAE">
        <w:rPr>
          <w:rFonts w:ascii="Rockwell" w:eastAsia="Arial" w:hAnsi="Rockwell" w:cs="Arial"/>
          <w:b/>
          <w:bCs/>
          <w:sz w:val="24"/>
          <w:szCs w:val="24"/>
        </w:rPr>
        <w:t>:</w:t>
      </w:r>
      <w:r w:rsidRPr="00B96DAE">
        <w:rPr>
          <w:rFonts w:ascii="Rockwell" w:eastAsia="Arial" w:hAnsi="Rockwell" w:cs="Arial"/>
          <w:sz w:val="24"/>
          <w:szCs w:val="24"/>
        </w:rPr>
        <w:t xml:space="preserve"> une précision a été apporté audit alinéa en vue permettre que la garantie de bonne </w:t>
      </w:r>
      <w:r w:rsidRPr="00B96DAE">
        <w:rPr>
          <w:rFonts w:ascii="Rockwell" w:eastAsia="Arial" w:hAnsi="Rockwell" w:cs="Arial"/>
          <w:iCs/>
          <w:sz w:val="24"/>
          <w:szCs w:val="24"/>
        </w:rPr>
        <w:t xml:space="preserve">exécution couvre les retards d’exécution et les prorogations des délais d’exécution. </w:t>
      </w:r>
      <w:r w:rsidRPr="00B96DAE">
        <w:rPr>
          <w:rFonts w:ascii="Rockwell" w:eastAsia="Arial" w:hAnsi="Rockwell" w:cs="Arial"/>
          <w:iCs/>
          <w:sz w:val="24"/>
          <w:szCs w:val="24"/>
        </w:rPr>
        <w:lastRenderedPageBreak/>
        <w:t>Cette précision doit être apportée dans le modèle type de garantie de bonne exécution lors de la relecture des DSNA.</w:t>
      </w:r>
    </w:p>
    <w:p w14:paraId="3D16C0D5" w14:textId="77777777" w:rsidR="00583561" w:rsidRPr="00B96DAE" w:rsidRDefault="00A76E15"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bCs/>
          <w:sz w:val="24"/>
          <w:szCs w:val="24"/>
        </w:rPr>
        <w:t>Article 162, alinéa 9 (ancien 151, alinéa 9) :</w:t>
      </w:r>
      <w:r w:rsidR="002D6DAA" w:rsidRPr="00B96DAE">
        <w:rPr>
          <w:rFonts w:ascii="Rockwell" w:eastAsia="Arial" w:hAnsi="Rockwell" w:cs="Arial"/>
          <w:sz w:val="24"/>
          <w:szCs w:val="24"/>
        </w:rPr>
        <w:t xml:space="preserve"> </w:t>
      </w:r>
      <w:r w:rsidR="0097786E" w:rsidRPr="00B96DAE">
        <w:rPr>
          <w:rFonts w:ascii="Rockwell" w:eastAsia="Arial" w:hAnsi="Rockwell" w:cs="Arial"/>
          <w:sz w:val="24"/>
          <w:szCs w:val="24"/>
        </w:rPr>
        <w:t>cet alinéa qui précisait les modalités de dispense des artisans de la constitution de la garantie de bonne exécution a été remplacé par un renvoi à un arrêté du ministre en charge du budget. Cet arrêté précisera les conditions de constitution de la garantie de bonne exécution.</w:t>
      </w:r>
    </w:p>
    <w:p w14:paraId="2F745530" w14:textId="20B400E1" w:rsidR="00051D65" w:rsidRPr="00B96DAE" w:rsidRDefault="001001A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17</w:t>
      </w:r>
      <w:r w:rsidR="00F16166" w:rsidRPr="00B96DAE">
        <w:rPr>
          <w:rFonts w:ascii="Rockwell" w:eastAsia="Arial" w:hAnsi="Rockwell" w:cs="Arial"/>
          <w:b/>
          <w:sz w:val="24"/>
          <w:szCs w:val="24"/>
        </w:rPr>
        <w:t>1</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AC5C89">
        <w:rPr>
          <w:rFonts w:ascii="Rockwell" w:eastAsia="Arial" w:hAnsi="Rockwell" w:cs="Arial"/>
          <w:b/>
          <w:bCs/>
          <w:sz w:val="24"/>
          <w:szCs w:val="24"/>
        </w:rPr>
        <w:t xml:space="preserve">ancien </w:t>
      </w:r>
      <w:r w:rsidR="00AC5C89" w:rsidRPr="001D30F0">
        <w:rPr>
          <w:rFonts w:ascii="Rockwell" w:eastAsia="Arial" w:hAnsi="Rockwell" w:cs="Arial"/>
          <w:b/>
          <w:bCs/>
          <w:sz w:val="24"/>
          <w:szCs w:val="24"/>
        </w:rPr>
        <w:t>article</w:t>
      </w:r>
      <w:r w:rsidRPr="001D30F0">
        <w:rPr>
          <w:rFonts w:ascii="Rockwell" w:eastAsia="Arial" w:hAnsi="Rockwell" w:cs="Arial"/>
          <w:b/>
          <w:bCs/>
          <w:sz w:val="24"/>
          <w:szCs w:val="24"/>
        </w:rPr>
        <w:t xml:space="preserve"> 146) </w:t>
      </w:r>
      <w:r w:rsidRPr="00B96DAE">
        <w:rPr>
          <w:rFonts w:ascii="Rockwell" w:eastAsia="Arial" w:hAnsi="Rockwell" w:cs="Arial"/>
          <w:sz w:val="24"/>
          <w:szCs w:val="24"/>
        </w:rPr>
        <w:t xml:space="preserve">: la précision des modalités d’application des pénalités de retard notamment lorsque le marché ne prévoit pas les conditions de mise en œuvre. </w:t>
      </w:r>
      <w:r w:rsidR="00F16166" w:rsidRPr="00B96DAE">
        <w:rPr>
          <w:rFonts w:ascii="Rockwell" w:eastAsia="Arial" w:hAnsi="Rockwell" w:cs="Arial"/>
          <w:sz w:val="24"/>
          <w:szCs w:val="24"/>
        </w:rPr>
        <w:t xml:space="preserve">Dans ce cas, il est appliqué le taux réglementaire minimal. Aussi, il a été précisé que le taux de la pénalité de retard s’applique sur le montant de la commande livrée en retard lorsqu’il s’agit d’un marché à commandes. Enfin, </w:t>
      </w:r>
      <w:r w:rsidR="00051D65" w:rsidRPr="00B96DAE">
        <w:rPr>
          <w:rFonts w:ascii="Rockwell" w:eastAsia="Arial" w:hAnsi="Rockwell" w:cs="Arial"/>
          <w:sz w:val="24"/>
          <w:szCs w:val="24"/>
        </w:rPr>
        <w:t>i</w:t>
      </w:r>
      <w:r w:rsidRPr="00B96DAE">
        <w:rPr>
          <w:rFonts w:ascii="Rockwell" w:eastAsia="Arial" w:hAnsi="Rockwell" w:cs="Arial"/>
          <w:sz w:val="24"/>
          <w:szCs w:val="24"/>
        </w:rPr>
        <w:t xml:space="preserve">l y est prévu également le plafonnement des pénalités </w:t>
      </w:r>
      <w:r w:rsidR="00051D65" w:rsidRPr="00B96DAE">
        <w:rPr>
          <w:rFonts w:ascii="Rockwell" w:eastAsia="Arial" w:hAnsi="Rockwell" w:cs="Arial"/>
          <w:sz w:val="24"/>
          <w:szCs w:val="24"/>
        </w:rPr>
        <w:t xml:space="preserve">de retard </w:t>
      </w:r>
      <w:r w:rsidRPr="00B96DAE">
        <w:rPr>
          <w:rFonts w:ascii="Rockwell" w:eastAsia="Arial" w:hAnsi="Rockwell" w:cs="Arial"/>
          <w:sz w:val="24"/>
          <w:szCs w:val="24"/>
        </w:rPr>
        <w:t>à 5% du montant hors taxe du marché</w:t>
      </w:r>
      <w:r w:rsidR="00051D65" w:rsidRPr="00B96DAE">
        <w:rPr>
          <w:rFonts w:ascii="Rockwell" w:eastAsia="Arial" w:hAnsi="Rockwell" w:cs="Arial"/>
          <w:sz w:val="24"/>
          <w:szCs w:val="24"/>
        </w:rPr>
        <w:t xml:space="preserve"> conformément à la directive de l’UEMOA</w:t>
      </w:r>
      <w:r w:rsidR="00583561" w:rsidRPr="00B96DAE">
        <w:rPr>
          <w:rFonts w:ascii="Rockwell" w:eastAsia="Arial" w:hAnsi="Rockwell" w:cs="Arial"/>
          <w:sz w:val="24"/>
          <w:szCs w:val="24"/>
        </w:rPr>
        <w:t>.</w:t>
      </w:r>
    </w:p>
    <w:p w14:paraId="4C10BAED" w14:textId="77777777" w:rsidR="00051D65" w:rsidRPr="00B96DAE" w:rsidRDefault="00051D65"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bCs/>
          <w:sz w:val="24"/>
          <w:szCs w:val="24"/>
        </w:rPr>
        <w:t>Article 176 (ancien article 151) :</w:t>
      </w:r>
      <w:r w:rsidRPr="00B96DAE">
        <w:rPr>
          <w:rFonts w:ascii="Rockwell" w:eastAsia="Arial" w:hAnsi="Rockwell" w:cs="Arial"/>
          <w:sz w:val="24"/>
          <w:szCs w:val="24"/>
        </w:rPr>
        <w:t xml:space="preserve"> un dernier alinéa a été ajouté pour donner la faculté à l’autorité contractante ou au titulaire de résilier le marché lorsque l’actualisation conduit à une variation supérieure à vingt pour cent (20%) du marché. Ce nouveau motif de résiliation a été mis à jour au niveau de l’article 184, point 3 relatif à la résiliation.</w:t>
      </w:r>
    </w:p>
    <w:p w14:paraId="01C95876" w14:textId="5021AEA8" w:rsidR="00E5614F"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18</w:t>
      </w:r>
      <w:r w:rsidR="00676132" w:rsidRPr="00B96DAE">
        <w:rPr>
          <w:rFonts w:ascii="Rockwell" w:eastAsia="Arial" w:hAnsi="Rockwell" w:cs="Arial"/>
          <w:b/>
          <w:sz w:val="24"/>
          <w:szCs w:val="24"/>
        </w:rPr>
        <w:t>4</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1D30F0">
        <w:rPr>
          <w:rFonts w:ascii="Rockwell" w:eastAsia="Arial" w:hAnsi="Rockwell" w:cs="Arial"/>
          <w:b/>
          <w:bCs/>
          <w:sz w:val="24"/>
          <w:szCs w:val="24"/>
        </w:rPr>
        <w:t>ancien artic</w:t>
      </w:r>
      <w:r w:rsidR="001D30F0" w:rsidRPr="001D30F0">
        <w:rPr>
          <w:rFonts w:ascii="Rockwell" w:eastAsia="Arial" w:hAnsi="Rockwell" w:cs="Arial"/>
          <w:b/>
          <w:bCs/>
          <w:sz w:val="24"/>
          <w:szCs w:val="24"/>
        </w:rPr>
        <w:t xml:space="preserve">le </w:t>
      </w:r>
      <w:r w:rsidRPr="001D30F0">
        <w:rPr>
          <w:rFonts w:ascii="Rockwell" w:eastAsia="Arial" w:hAnsi="Rockwell" w:cs="Arial"/>
          <w:b/>
          <w:bCs/>
          <w:sz w:val="24"/>
          <w:szCs w:val="24"/>
        </w:rPr>
        <w:t>159) </w:t>
      </w:r>
      <w:r w:rsidRPr="00B96DAE">
        <w:rPr>
          <w:rFonts w:ascii="Rockwell" w:eastAsia="Arial" w:hAnsi="Rockwell" w:cs="Arial"/>
          <w:sz w:val="24"/>
          <w:szCs w:val="24"/>
        </w:rPr>
        <w:t xml:space="preserve">: l’ajout d’une condition de résiliation de marché public à l’initiative de l’autorité contractante notamment pour non-respect des obligations minimales prévues </w:t>
      </w:r>
      <w:r w:rsidR="00676132" w:rsidRPr="00B96DAE">
        <w:rPr>
          <w:rFonts w:ascii="Rockwell" w:eastAsia="Arial" w:hAnsi="Rockwell" w:cs="Arial"/>
          <w:sz w:val="24"/>
          <w:szCs w:val="24"/>
        </w:rPr>
        <w:t>aux achats publics durable. Aussi, la réduction du nombre de mise en demeure à un (1) pour prononcer la résiliation du marché.</w:t>
      </w:r>
    </w:p>
    <w:p w14:paraId="17DCC5C6" w14:textId="05B1C72D" w:rsidR="00E5614F"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186 </w:t>
      </w:r>
      <w:r w:rsidRPr="00B96DAE">
        <w:rPr>
          <w:rFonts w:ascii="Rockwell" w:eastAsia="Arial" w:hAnsi="Rockwell" w:cs="Arial"/>
          <w:sz w:val="24"/>
          <w:szCs w:val="24"/>
        </w:rPr>
        <w:t>: l’autorisation à toute autorité contractante qui a été amenée à résilier un marché public pour défaillance du titulaire, de rejeter toute offre déposée par l’entreprise concernée dans le cadre de procédures ultérieures lancées au cours de la même année budgétaire</w:t>
      </w:r>
      <w:r w:rsidR="00E5614F" w:rsidRPr="00B96DAE">
        <w:rPr>
          <w:rFonts w:ascii="Rockwell" w:eastAsia="Arial" w:hAnsi="Rockwell" w:cs="Arial"/>
          <w:sz w:val="24"/>
          <w:szCs w:val="24"/>
        </w:rPr>
        <w:t>.</w:t>
      </w:r>
    </w:p>
    <w:p w14:paraId="0533750D" w14:textId="28E3D360" w:rsidR="00C00A2C" w:rsidRPr="00B96DAE" w:rsidRDefault="00E5614F"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187, alinéa 2 </w:t>
      </w:r>
      <w:r w:rsidRPr="00B96DAE">
        <w:rPr>
          <w:rFonts w:ascii="Rockwell" w:eastAsia="Arial" w:hAnsi="Rockwell" w:cs="Arial"/>
          <w:sz w:val="24"/>
          <w:szCs w:val="24"/>
        </w:rPr>
        <w:t>(</w:t>
      </w:r>
      <w:r w:rsidR="001D30F0">
        <w:rPr>
          <w:rFonts w:ascii="Rockwell" w:eastAsia="Arial" w:hAnsi="Rockwell" w:cs="Arial"/>
          <w:b/>
          <w:bCs/>
          <w:sz w:val="24"/>
          <w:szCs w:val="24"/>
        </w:rPr>
        <w:t xml:space="preserve">ancien </w:t>
      </w:r>
      <w:r w:rsidR="001D30F0" w:rsidRPr="001D30F0">
        <w:rPr>
          <w:rFonts w:ascii="Rockwell" w:eastAsia="Arial" w:hAnsi="Rockwell" w:cs="Arial"/>
          <w:b/>
          <w:bCs/>
          <w:sz w:val="24"/>
          <w:szCs w:val="24"/>
        </w:rPr>
        <w:t xml:space="preserve">article </w:t>
      </w:r>
      <w:r w:rsidRPr="001D30F0">
        <w:rPr>
          <w:rFonts w:ascii="Rockwell" w:eastAsia="Arial" w:hAnsi="Rockwell" w:cs="Arial"/>
          <w:b/>
          <w:bCs/>
          <w:sz w:val="24"/>
          <w:szCs w:val="24"/>
        </w:rPr>
        <w:t>161)</w:t>
      </w:r>
      <w:r w:rsidRPr="00B96DAE">
        <w:rPr>
          <w:rFonts w:ascii="Rockwell" w:eastAsia="Arial" w:hAnsi="Rockwell" w:cs="Arial"/>
          <w:sz w:val="24"/>
          <w:szCs w:val="24"/>
        </w:rPr>
        <w:t> : la précision du signataire de l’attestation de service fait dans le cadre de la réception des prestations de services courants qui est le gestionnaire de crédit</w:t>
      </w:r>
      <w:r w:rsidR="00C00A2C" w:rsidRPr="00B96DAE">
        <w:rPr>
          <w:rFonts w:ascii="Rockwell" w:eastAsia="Arial" w:hAnsi="Rockwell" w:cs="Arial"/>
          <w:sz w:val="24"/>
          <w:szCs w:val="24"/>
        </w:rPr>
        <w:t>s</w:t>
      </w:r>
      <w:r w:rsidRPr="00B96DAE">
        <w:rPr>
          <w:rFonts w:ascii="Rockwell" w:eastAsia="Arial" w:hAnsi="Rockwell" w:cs="Arial"/>
          <w:sz w:val="24"/>
          <w:szCs w:val="24"/>
        </w:rPr>
        <w:t>.</w:t>
      </w:r>
    </w:p>
    <w:p w14:paraId="5AE52499" w14:textId="482FC789" w:rsidR="00C14CF2"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18</w:t>
      </w:r>
      <w:r w:rsidR="00C14CF2" w:rsidRPr="00B96DAE">
        <w:rPr>
          <w:rFonts w:ascii="Rockwell" w:eastAsia="Arial" w:hAnsi="Rockwell" w:cs="Arial"/>
          <w:b/>
          <w:sz w:val="24"/>
          <w:szCs w:val="24"/>
        </w:rPr>
        <w:t>8</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1D30F0">
        <w:rPr>
          <w:rFonts w:ascii="Rockwell" w:eastAsia="Arial" w:hAnsi="Rockwell" w:cs="Arial"/>
          <w:b/>
          <w:bCs/>
          <w:sz w:val="24"/>
          <w:szCs w:val="24"/>
        </w:rPr>
        <w:t>ancien articl</w:t>
      </w:r>
      <w:r w:rsidR="001D30F0" w:rsidRPr="001D30F0">
        <w:rPr>
          <w:rFonts w:ascii="Rockwell" w:eastAsia="Arial" w:hAnsi="Rockwell" w:cs="Arial"/>
          <w:b/>
          <w:bCs/>
          <w:sz w:val="24"/>
          <w:szCs w:val="24"/>
        </w:rPr>
        <w:t xml:space="preserve">e </w:t>
      </w:r>
      <w:r w:rsidRPr="001D30F0">
        <w:rPr>
          <w:rFonts w:ascii="Rockwell" w:eastAsia="Arial" w:hAnsi="Rockwell" w:cs="Arial"/>
          <w:b/>
          <w:bCs/>
          <w:sz w:val="24"/>
          <w:szCs w:val="24"/>
        </w:rPr>
        <w:t>162) </w:t>
      </w:r>
      <w:r w:rsidRPr="00B96DAE">
        <w:rPr>
          <w:rFonts w:ascii="Rockwell" w:eastAsia="Arial" w:hAnsi="Rockwell" w:cs="Arial"/>
          <w:sz w:val="24"/>
          <w:szCs w:val="24"/>
        </w:rPr>
        <w:t>: la précision à l’alinéa 6, des modalités de réception définitive de plein droit. L’article demande également d’établir les responsabilités notamment lorsque l’ouvrage ou l’équipement qui a fait l’objet de la réception</w:t>
      </w:r>
      <w:r w:rsidR="00C14CF2" w:rsidRPr="00B96DAE">
        <w:rPr>
          <w:rFonts w:ascii="Rockwell" w:eastAsia="Arial" w:hAnsi="Rockwell" w:cs="Arial"/>
          <w:sz w:val="24"/>
          <w:szCs w:val="24"/>
        </w:rPr>
        <w:t xml:space="preserve"> définitive de plein droit</w:t>
      </w:r>
      <w:r w:rsidRPr="00B96DAE">
        <w:rPr>
          <w:rFonts w:ascii="Rockwell" w:eastAsia="Arial" w:hAnsi="Rockwell" w:cs="Arial"/>
          <w:sz w:val="24"/>
          <w:szCs w:val="24"/>
        </w:rPr>
        <w:t>, comporte des insuffisances majeures et de transmettre le rapport à l’ARCOP</w:t>
      </w:r>
      <w:r w:rsidR="00C14CF2" w:rsidRPr="00B96DAE">
        <w:rPr>
          <w:rFonts w:ascii="Rockwell" w:eastAsia="Arial" w:hAnsi="Rockwell" w:cs="Arial"/>
          <w:sz w:val="24"/>
          <w:szCs w:val="24"/>
        </w:rPr>
        <w:t>.</w:t>
      </w:r>
    </w:p>
    <w:p w14:paraId="53782BE0" w14:textId="2B815B64" w:rsidR="00C14CF2"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189 </w:t>
      </w:r>
      <w:r w:rsidRPr="00B96DAE">
        <w:rPr>
          <w:rFonts w:ascii="Rockwell" w:eastAsia="Arial" w:hAnsi="Rockwell" w:cs="Arial"/>
          <w:sz w:val="24"/>
          <w:szCs w:val="24"/>
        </w:rPr>
        <w:t>(</w:t>
      </w:r>
      <w:r w:rsidR="001D30F0">
        <w:rPr>
          <w:rFonts w:ascii="Rockwell" w:eastAsia="Arial" w:hAnsi="Rockwell" w:cs="Arial"/>
          <w:b/>
          <w:bCs/>
          <w:sz w:val="24"/>
          <w:szCs w:val="24"/>
        </w:rPr>
        <w:t>ancien art</w:t>
      </w:r>
      <w:r w:rsidR="001D30F0" w:rsidRPr="001D30F0">
        <w:rPr>
          <w:rFonts w:ascii="Rockwell" w:eastAsia="Arial" w:hAnsi="Rockwell" w:cs="Arial"/>
          <w:b/>
          <w:bCs/>
          <w:sz w:val="24"/>
          <w:szCs w:val="24"/>
        </w:rPr>
        <w:t xml:space="preserve">icle </w:t>
      </w:r>
      <w:r w:rsidRPr="001D30F0">
        <w:rPr>
          <w:rFonts w:ascii="Rockwell" w:eastAsia="Arial" w:hAnsi="Rockwell" w:cs="Arial"/>
          <w:b/>
          <w:bCs/>
          <w:sz w:val="24"/>
          <w:szCs w:val="24"/>
        </w:rPr>
        <w:t>165) </w:t>
      </w:r>
      <w:r w:rsidRPr="00B96DAE">
        <w:rPr>
          <w:rFonts w:ascii="Rockwell" w:eastAsia="Arial" w:hAnsi="Rockwell" w:cs="Arial"/>
          <w:sz w:val="24"/>
          <w:szCs w:val="24"/>
        </w:rPr>
        <w:t>: la précision à l’alinéa 6, des conditions d’octroi des avances de démarrage en particulier dans les marchés à commandes</w:t>
      </w:r>
      <w:r w:rsidR="00C14CF2" w:rsidRPr="00B96DAE">
        <w:rPr>
          <w:rFonts w:ascii="Rockwell" w:eastAsia="Arial" w:hAnsi="Rockwell" w:cs="Arial"/>
          <w:sz w:val="24"/>
          <w:szCs w:val="24"/>
        </w:rPr>
        <w:t>.</w:t>
      </w:r>
      <w:r w:rsidR="00093584" w:rsidRPr="00B96DAE">
        <w:rPr>
          <w:rFonts w:ascii="Rockwell" w:eastAsia="Arial" w:hAnsi="Rockwell" w:cs="Arial"/>
          <w:sz w:val="24"/>
          <w:szCs w:val="24"/>
        </w:rPr>
        <w:t xml:space="preserve"> Dans ce cas, c’est le montant minimum qui est considéré.</w:t>
      </w:r>
    </w:p>
    <w:p w14:paraId="2D820E47" w14:textId="6E234BA5" w:rsidR="00832C39"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 xml:space="preserve">Article </w:t>
      </w:r>
      <w:r w:rsidR="00832C39" w:rsidRPr="00B96DAE">
        <w:rPr>
          <w:rFonts w:ascii="Rockwell" w:eastAsia="Arial" w:hAnsi="Rockwell" w:cs="Arial"/>
          <w:b/>
          <w:sz w:val="24"/>
          <w:szCs w:val="24"/>
        </w:rPr>
        <w:t>200</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3B1621" w:rsidRPr="00B96DAE">
        <w:rPr>
          <w:rFonts w:ascii="Rockwell" w:eastAsia="Arial" w:hAnsi="Rockwell" w:cs="Arial"/>
          <w:b/>
          <w:bCs/>
          <w:sz w:val="24"/>
          <w:szCs w:val="24"/>
        </w:rPr>
        <w:t xml:space="preserve">ancien </w:t>
      </w:r>
      <w:r w:rsidR="003B1621" w:rsidRPr="001D30F0">
        <w:rPr>
          <w:rFonts w:ascii="Rockwell" w:eastAsia="Arial" w:hAnsi="Rockwell" w:cs="Arial"/>
          <w:b/>
          <w:bCs/>
          <w:sz w:val="24"/>
          <w:szCs w:val="24"/>
        </w:rPr>
        <w:t xml:space="preserve">article </w:t>
      </w:r>
      <w:r w:rsidRPr="001D30F0">
        <w:rPr>
          <w:rFonts w:ascii="Rockwell" w:eastAsia="Arial" w:hAnsi="Rockwell" w:cs="Arial"/>
          <w:b/>
          <w:bCs/>
          <w:sz w:val="24"/>
          <w:szCs w:val="24"/>
        </w:rPr>
        <w:t>175)</w:t>
      </w:r>
      <w:r w:rsidRPr="00B96DAE">
        <w:rPr>
          <w:rFonts w:ascii="Rockwell" w:eastAsia="Arial" w:hAnsi="Rockwell" w:cs="Arial"/>
          <w:sz w:val="24"/>
          <w:szCs w:val="24"/>
        </w:rPr>
        <w:t xml:space="preserve"> : l’ajout de deux alinéas (alinéas 5 et 6) pour prendre en compte les cessions de créances en plus du nantissement.</w:t>
      </w:r>
    </w:p>
    <w:p w14:paraId="325B1D6A" w14:textId="52035627" w:rsidR="00583561"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20</w:t>
      </w:r>
      <w:r w:rsidR="00832C39" w:rsidRPr="00B96DAE">
        <w:rPr>
          <w:rFonts w:ascii="Rockwell" w:eastAsia="Arial" w:hAnsi="Rockwell" w:cs="Arial"/>
          <w:b/>
          <w:sz w:val="24"/>
          <w:szCs w:val="24"/>
        </w:rPr>
        <w:t>1</w:t>
      </w:r>
      <w:r w:rsidRPr="00B96DAE">
        <w:rPr>
          <w:rFonts w:ascii="Rockwell" w:eastAsia="Arial" w:hAnsi="Rockwell" w:cs="Arial"/>
          <w:sz w:val="24"/>
          <w:szCs w:val="24"/>
        </w:rPr>
        <w:t xml:space="preserve"> (</w:t>
      </w:r>
      <w:r w:rsidR="003B1621" w:rsidRPr="00B96DAE">
        <w:rPr>
          <w:rFonts w:ascii="Rockwell" w:eastAsia="Arial" w:hAnsi="Rockwell" w:cs="Arial"/>
          <w:b/>
          <w:bCs/>
          <w:sz w:val="24"/>
          <w:szCs w:val="24"/>
        </w:rPr>
        <w:t xml:space="preserve">ancien </w:t>
      </w:r>
      <w:r w:rsidR="003B1621" w:rsidRPr="001D30F0">
        <w:rPr>
          <w:rFonts w:ascii="Rockwell" w:eastAsia="Arial" w:hAnsi="Rockwell" w:cs="Arial"/>
          <w:b/>
          <w:bCs/>
          <w:sz w:val="24"/>
          <w:szCs w:val="24"/>
        </w:rPr>
        <w:t>article</w:t>
      </w:r>
      <w:r w:rsidRPr="001D30F0">
        <w:rPr>
          <w:rFonts w:ascii="Rockwell" w:eastAsia="Arial" w:hAnsi="Rockwell" w:cs="Arial"/>
          <w:b/>
          <w:bCs/>
          <w:sz w:val="24"/>
          <w:szCs w:val="24"/>
        </w:rPr>
        <w:t>176)</w:t>
      </w:r>
      <w:r w:rsidRPr="00B96DAE">
        <w:rPr>
          <w:rFonts w:ascii="Rockwell" w:eastAsia="Arial" w:hAnsi="Rockwell" w:cs="Arial"/>
          <w:sz w:val="24"/>
          <w:szCs w:val="24"/>
        </w:rPr>
        <w:t xml:space="preserve"> : </w:t>
      </w:r>
      <w:r w:rsidR="003B1621" w:rsidRPr="00B96DAE">
        <w:rPr>
          <w:rFonts w:ascii="Rockwell" w:eastAsia="Arial" w:hAnsi="Rockwell" w:cs="Arial"/>
          <w:sz w:val="24"/>
          <w:szCs w:val="24"/>
        </w:rPr>
        <w:t xml:space="preserve">la possibilité pour l’ARCOP de prononcer des sanction l’exclusion temporaire </w:t>
      </w:r>
      <w:proofErr w:type="gramStart"/>
      <w:r w:rsidR="003B1621" w:rsidRPr="00B96DAE">
        <w:rPr>
          <w:rFonts w:ascii="Rockwell" w:eastAsia="Arial" w:hAnsi="Rockwell" w:cs="Arial"/>
          <w:sz w:val="24"/>
          <w:szCs w:val="24"/>
        </w:rPr>
        <w:t>de un</w:t>
      </w:r>
      <w:proofErr w:type="gramEnd"/>
      <w:r w:rsidR="003B1621" w:rsidRPr="00B96DAE">
        <w:rPr>
          <w:rFonts w:ascii="Rockwell" w:eastAsia="Arial" w:hAnsi="Rockwell" w:cs="Arial"/>
          <w:sz w:val="24"/>
          <w:szCs w:val="24"/>
        </w:rPr>
        <w:t xml:space="preserve"> (1) à cinq (5) an(s) ou définitive de toute participation au processus de gestion de la commande publique</w:t>
      </w:r>
      <w:r w:rsidR="003B1621" w:rsidRPr="00B96DAE" w:rsidDel="00657F93">
        <w:rPr>
          <w:rFonts w:ascii="Rockwell" w:eastAsia="Arial" w:hAnsi="Rockwell" w:cs="Arial"/>
          <w:sz w:val="24"/>
          <w:szCs w:val="24"/>
        </w:rPr>
        <w:t xml:space="preserve"> </w:t>
      </w:r>
      <w:r w:rsidR="003B1621" w:rsidRPr="00B96DAE">
        <w:rPr>
          <w:rFonts w:ascii="Rockwell" w:eastAsia="Arial" w:hAnsi="Rockwell" w:cs="Arial"/>
          <w:sz w:val="24"/>
          <w:szCs w:val="24"/>
        </w:rPr>
        <w:t xml:space="preserve">à </w:t>
      </w:r>
      <w:r w:rsidR="003B1621" w:rsidRPr="00B96DAE">
        <w:rPr>
          <w:rFonts w:ascii="Rockwell" w:eastAsia="Arial" w:hAnsi="Rockwell" w:cs="Arial"/>
          <w:sz w:val="24"/>
          <w:szCs w:val="24"/>
        </w:rPr>
        <w:lastRenderedPageBreak/>
        <w:t xml:space="preserve">l’encontre des agents de l’administration publique. Aussi, </w:t>
      </w:r>
      <w:r w:rsidRPr="00B96DAE">
        <w:rPr>
          <w:rFonts w:ascii="Rockwell" w:eastAsia="Arial" w:hAnsi="Rockwell" w:cs="Arial"/>
          <w:sz w:val="24"/>
          <w:szCs w:val="24"/>
        </w:rPr>
        <w:t>l’extension des sanctions administratives à l’encontre des agents de l’administration</w:t>
      </w:r>
      <w:r w:rsidR="003B1621" w:rsidRPr="00B96DAE">
        <w:rPr>
          <w:rFonts w:ascii="Rockwell" w:eastAsia="Arial" w:hAnsi="Rockwell" w:cs="Arial"/>
          <w:sz w:val="24"/>
          <w:szCs w:val="24"/>
        </w:rPr>
        <w:t xml:space="preserve"> </w:t>
      </w:r>
      <w:r w:rsidRPr="00B96DAE">
        <w:rPr>
          <w:rFonts w:ascii="Rockwell" w:eastAsia="Arial" w:hAnsi="Rockwell" w:cs="Arial"/>
          <w:sz w:val="24"/>
          <w:szCs w:val="24"/>
        </w:rPr>
        <w:t>pour :</w:t>
      </w:r>
    </w:p>
    <w:p w14:paraId="764B4F83" w14:textId="77777777" w:rsidR="00832C39"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non</w:t>
      </w:r>
      <w:proofErr w:type="gramEnd"/>
      <w:r w:rsidRPr="00B96DAE">
        <w:rPr>
          <w:rFonts w:ascii="Rockwell" w:eastAsia="Arial" w:hAnsi="Rockwell" w:cs="Arial"/>
          <w:sz w:val="24"/>
          <w:szCs w:val="24"/>
        </w:rPr>
        <w:t xml:space="preserve"> transmission à l’autorité de régulation de la commande publique, des éléments d’information nécessaires pour prononcer la défaillance ou l’exclusion  d’une entreprise de la commande publique ;</w:t>
      </w:r>
    </w:p>
    <w:p w14:paraId="4C581C43" w14:textId="3BF970A8" w:rsidR="003B1621"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omission</w:t>
      </w:r>
      <w:proofErr w:type="gramEnd"/>
      <w:r w:rsidRPr="00B96DAE">
        <w:rPr>
          <w:rFonts w:ascii="Rockwell" w:eastAsia="Arial" w:hAnsi="Rockwell" w:cs="Arial"/>
          <w:sz w:val="24"/>
          <w:szCs w:val="24"/>
        </w:rPr>
        <w:t xml:space="preserve"> de la liquidation ou la minoration des pénalités de retard ;</w:t>
      </w:r>
    </w:p>
    <w:p w14:paraId="1E7197B3" w14:textId="77777777" w:rsidR="003B1621"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action</w:t>
      </w:r>
      <w:proofErr w:type="gramEnd"/>
      <w:r w:rsidRPr="00B96DAE">
        <w:rPr>
          <w:rFonts w:ascii="Rockwell" w:eastAsia="Arial" w:hAnsi="Rockwell" w:cs="Arial"/>
          <w:sz w:val="24"/>
          <w:szCs w:val="24"/>
        </w:rPr>
        <w:t xml:space="preserve"> ou inaction, conduisant l’autorité contractante à prononcer une réception définitive de plein droit alors même que l’ouvrage ou l’équipement objet de ladite réception, comportait des insuffisances majeures ;</w:t>
      </w:r>
    </w:p>
    <w:p w14:paraId="13CB3F83" w14:textId="77777777" w:rsidR="003B1621"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manquement</w:t>
      </w:r>
      <w:proofErr w:type="gramEnd"/>
      <w:r w:rsidRPr="00B96DAE">
        <w:rPr>
          <w:rFonts w:ascii="Rockwell" w:eastAsia="Arial" w:hAnsi="Rockwell" w:cs="Arial"/>
          <w:sz w:val="24"/>
          <w:szCs w:val="24"/>
        </w:rPr>
        <w:t xml:space="preserve"> de manière répétée à l’obligation de transmettre une copie des ordres de service au service en charge de la liquidation de la dépense</w:t>
      </w:r>
      <w:r w:rsidR="003B1621" w:rsidRPr="00B96DAE">
        <w:rPr>
          <w:rFonts w:ascii="Rockwell" w:eastAsia="Arial" w:hAnsi="Rockwell" w:cs="Arial"/>
          <w:sz w:val="24"/>
          <w:szCs w:val="24"/>
        </w:rPr>
        <w:t> ;</w:t>
      </w:r>
    </w:p>
    <w:p w14:paraId="6DA2D802" w14:textId="77777777" w:rsidR="002C634C"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le</w:t>
      </w:r>
      <w:proofErr w:type="gramEnd"/>
      <w:r w:rsidRPr="00B96DAE">
        <w:rPr>
          <w:rFonts w:ascii="Rockwell" w:eastAsia="Arial" w:hAnsi="Rockwell" w:cs="Arial"/>
          <w:sz w:val="24"/>
          <w:szCs w:val="24"/>
        </w:rPr>
        <w:t xml:space="preserve"> manquement de manière répétée à l’obligation de transmettre une copie de l’état de liquidation des pénalités de retard au titulaire du marché</w:t>
      </w:r>
      <w:r w:rsidR="002C634C" w:rsidRPr="00B96DAE">
        <w:rPr>
          <w:rFonts w:ascii="Rockwell" w:eastAsia="Arial" w:hAnsi="Rockwell" w:cs="Arial"/>
          <w:sz w:val="24"/>
          <w:szCs w:val="24"/>
        </w:rPr>
        <w:t> ;</w:t>
      </w:r>
    </w:p>
    <w:p w14:paraId="020AE3B3" w14:textId="1C4A68CA" w:rsidR="00583561" w:rsidRPr="00B96DAE" w:rsidRDefault="002C634C"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iCs/>
          <w:sz w:val="24"/>
          <w:szCs w:val="24"/>
        </w:rPr>
        <w:t>obstacle</w:t>
      </w:r>
      <w:proofErr w:type="gramEnd"/>
      <w:r w:rsidRPr="00B96DAE">
        <w:rPr>
          <w:rFonts w:ascii="Rockwell" w:eastAsia="Arial" w:hAnsi="Rockwell" w:cs="Arial"/>
          <w:iCs/>
          <w:sz w:val="24"/>
          <w:szCs w:val="24"/>
        </w:rPr>
        <w:t xml:space="preserve"> à l'exécution des missions d'enquêtes ou de discipline de l’ARCOP</w:t>
      </w:r>
      <w:r w:rsidR="00583561" w:rsidRPr="00B96DAE">
        <w:rPr>
          <w:rFonts w:ascii="Rockwell" w:eastAsia="Arial" w:hAnsi="Rockwell" w:cs="Arial"/>
          <w:sz w:val="24"/>
          <w:szCs w:val="24"/>
        </w:rPr>
        <w:t>.</w:t>
      </w:r>
    </w:p>
    <w:p w14:paraId="76CE066B" w14:textId="1B8B88D4" w:rsidR="00583561"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20</w:t>
      </w:r>
      <w:r w:rsidR="003B1621" w:rsidRPr="00B96DAE">
        <w:rPr>
          <w:rFonts w:ascii="Rockwell" w:eastAsia="Arial" w:hAnsi="Rockwell" w:cs="Arial"/>
          <w:b/>
          <w:sz w:val="24"/>
          <w:szCs w:val="24"/>
        </w:rPr>
        <w:t>2</w:t>
      </w:r>
      <w:r w:rsidRPr="00B96DAE">
        <w:rPr>
          <w:rFonts w:ascii="Rockwell" w:eastAsia="Arial" w:hAnsi="Rockwell" w:cs="Arial"/>
          <w:b/>
          <w:sz w:val="24"/>
          <w:szCs w:val="24"/>
        </w:rPr>
        <w:t xml:space="preserve"> </w:t>
      </w:r>
      <w:r w:rsidRPr="00B96DAE">
        <w:rPr>
          <w:rFonts w:ascii="Rockwell" w:eastAsia="Arial" w:hAnsi="Rockwell" w:cs="Arial"/>
          <w:sz w:val="24"/>
          <w:szCs w:val="24"/>
        </w:rPr>
        <w:t>(</w:t>
      </w:r>
      <w:r w:rsidR="003B1621" w:rsidRPr="00B96DAE">
        <w:rPr>
          <w:rFonts w:ascii="Rockwell" w:eastAsia="Arial" w:hAnsi="Rockwell" w:cs="Arial"/>
          <w:b/>
          <w:bCs/>
          <w:sz w:val="24"/>
          <w:szCs w:val="24"/>
        </w:rPr>
        <w:t xml:space="preserve">ancien </w:t>
      </w:r>
      <w:r w:rsidR="003B1621" w:rsidRPr="001D30F0">
        <w:rPr>
          <w:rFonts w:ascii="Rockwell" w:eastAsia="Arial" w:hAnsi="Rockwell" w:cs="Arial"/>
          <w:b/>
          <w:bCs/>
          <w:sz w:val="24"/>
          <w:szCs w:val="24"/>
        </w:rPr>
        <w:t xml:space="preserve">article </w:t>
      </w:r>
      <w:r w:rsidRPr="001D30F0">
        <w:rPr>
          <w:rFonts w:ascii="Rockwell" w:eastAsia="Arial" w:hAnsi="Rockwell" w:cs="Arial"/>
          <w:b/>
          <w:bCs/>
          <w:sz w:val="24"/>
          <w:szCs w:val="24"/>
        </w:rPr>
        <w:t>177)</w:t>
      </w:r>
      <w:r w:rsidRPr="00B96DAE">
        <w:rPr>
          <w:rFonts w:ascii="Rockwell" w:eastAsia="Arial" w:hAnsi="Rockwell" w:cs="Arial"/>
          <w:b/>
          <w:sz w:val="24"/>
          <w:szCs w:val="24"/>
        </w:rPr>
        <w:t xml:space="preserve"> </w:t>
      </w:r>
      <w:r w:rsidRPr="00B96DAE">
        <w:rPr>
          <w:rFonts w:ascii="Rockwell" w:eastAsia="Arial" w:hAnsi="Rockwell" w:cs="Arial"/>
          <w:sz w:val="24"/>
          <w:szCs w:val="24"/>
        </w:rPr>
        <w:t>: l’extension des sanctions administratives à l’encontre des acteurs du secteur privé</w:t>
      </w:r>
      <w:r w:rsidR="002C634C" w:rsidRPr="00B96DAE">
        <w:rPr>
          <w:rFonts w:ascii="Rockwell" w:eastAsia="Arial" w:hAnsi="Rockwell" w:cs="Arial"/>
          <w:sz w:val="24"/>
          <w:szCs w:val="24"/>
        </w:rPr>
        <w:t xml:space="preserve"> </w:t>
      </w:r>
      <w:r w:rsidRPr="00B96DAE">
        <w:rPr>
          <w:rFonts w:ascii="Rockwell" w:eastAsia="Arial" w:hAnsi="Rockwell" w:cs="Arial"/>
          <w:sz w:val="24"/>
          <w:szCs w:val="24"/>
        </w:rPr>
        <w:t>pour violation des :</w:t>
      </w:r>
    </w:p>
    <w:p w14:paraId="2C85E146" w14:textId="77777777" w:rsidR="002C634C"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droits</w:t>
      </w:r>
      <w:proofErr w:type="gramEnd"/>
      <w:r w:rsidRPr="00B96DAE">
        <w:rPr>
          <w:rFonts w:ascii="Rockwell" w:eastAsia="Arial" w:hAnsi="Rockwell" w:cs="Arial"/>
          <w:sz w:val="24"/>
          <w:szCs w:val="24"/>
        </w:rPr>
        <w:t xml:space="preserve"> humains et des travailleurs ;</w:t>
      </w:r>
    </w:p>
    <w:p w14:paraId="70C4C30A" w14:textId="77777777" w:rsidR="002C634C"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règles</w:t>
      </w:r>
      <w:proofErr w:type="gramEnd"/>
      <w:r w:rsidRPr="00B96DAE">
        <w:rPr>
          <w:rFonts w:ascii="Rockwell" w:eastAsia="Arial" w:hAnsi="Rockwell" w:cs="Arial"/>
          <w:sz w:val="24"/>
          <w:szCs w:val="24"/>
        </w:rPr>
        <w:t xml:space="preserve"> en matière d’interdiction des pratiques d’exploitation, d’abus et de harcèlement sexuel ;</w:t>
      </w:r>
    </w:p>
    <w:p w14:paraId="06A9FC65" w14:textId="77777777" w:rsidR="002C634C"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dispositions</w:t>
      </w:r>
      <w:proofErr w:type="gramEnd"/>
      <w:r w:rsidRPr="00B96DAE">
        <w:rPr>
          <w:rFonts w:ascii="Rockwell" w:eastAsia="Arial" w:hAnsi="Rockwell" w:cs="Arial"/>
          <w:sz w:val="24"/>
          <w:szCs w:val="24"/>
        </w:rPr>
        <w:t xml:space="preserve"> en matière de protection de la santé et de la sécurité sur les lieux de travail ;</w:t>
      </w:r>
    </w:p>
    <w:p w14:paraId="56EA9BEC" w14:textId="77777777" w:rsidR="002C634C" w:rsidRPr="00B96DAE" w:rsidRDefault="00583561"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sz w:val="24"/>
          <w:szCs w:val="24"/>
        </w:rPr>
        <w:t>dispositions</w:t>
      </w:r>
      <w:proofErr w:type="gramEnd"/>
      <w:r w:rsidRPr="00B96DAE">
        <w:rPr>
          <w:rFonts w:ascii="Rockwell" w:eastAsia="Arial" w:hAnsi="Rockwell" w:cs="Arial"/>
          <w:sz w:val="24"/>
          <w:szCs w:val="24"/>
        </w:rPr>
        <w:t xml:space="preserve"> en matière de protection de l’environnement</w:t>
      </w:r>
      <w:r w:rsidR="002C634C" w:rsidRPr="00B96DAE">
        <w:rPr>
          <w:rFonts w:ascii="Rockwell" w:eastAsia="Arial" w:hAnsi="Rockwell" w:cs="Arial"/>
          <w:sz w:val="24"/>
          <w:szCs w:val="24"/>
        </w:rPr>
        <w:t> ;</w:t>
      </w:r>
    </w:p>
    <w:p w14:paraId="5B54455B" w14:textId="77FFFA4C" w:rsidR="00583561" w:rsidRPr="00B96DAE" w:rsidRDefault="002C634C" w:rsidP="00936976">
      <w:pPr>
        <w:pStyle w:val="Paragraphedeliste"/>
        <w:numPr>
          <w:ilvl w:val="0"/>
          <w:numId w:val="47"/>
        </w:numPr>
        <w:spacing w:before="120" w:after="120" w:line="240" w:lineRule="auto"/>
        <w:contextualSpacing w:val="0"/>
        <w:jc w:val="both"/>
        <w:rPr>
          <w:rFonts w:ascii="Rockwell" w:eastAsia="Arial" w:hAnsi="Rockwell" w:cs="Arial"/>
          <w:sz w:val="24"/>
          <w:szCs w:val="24"/>
        </w:rPr>
      </w:pPr>
      <w:proofErr w:type="gramStart"/>
      <w:r w:rsidRPr="00B96DAE">
        <w:rPr>
          <w:rFonts w:ascii="Rockwell" w:eastAsia="Arial" w:hAnsi="Rockwell" w:cs="Arial"/>
          <w:iCs/>
          <w:sz w:val="24"/>
          <w:szCs w:val="24"/>
        </w:rPr>
        <w:t>des</w:t>
      </w:r>
      <w:proofErr w:type="gramEnd"/>
      <w:r w:rsidRPr="00B96DAE">
        <w:rPr>
          <w:rFonts w:ascii="Rockwell" w:eastAsia="Arial" w:hAnsi="Rockwell" w:cs="Arial"/>
          <w:iCs/>
          <w:sz w:val="24"/>
          <w:szCs w:val="24"/>
        </w:rPr>
        <w:t xml:space="preserve"> </w:t>
      </w:r>
      <w:proofErr w:type="spellStart"/>
      <w:r w:rsidRPr="00B96DAE">
        <w:rPr>
          <w:rFonts w:ascii="Rockwell" w:eastAsia="Arial" w:hAnsi="Rockwell" w:cs="Arial"/>
          <w:iCs/>
          <w:sz w:val="24"/>
          <w:szCs w:val="24"/>
        </w:rPr>
        <w:t>regles</w:t>
      </w:r>
      <w:proofErr w:type="spellEnd"/>
      <w:r w:rsidRPr="00B96DAE">
        <w:rPr>
          <w:rFonts w:ascii="Rockwell" w:eastAsia="Arial" w:hAnsi="Rockwell" w:cs="Arial"/>
          <w:iCs/>
          <w:sz w:val="24"/>
          <w:szCs w:val="24"/>
        </w:rPr>
        <w:t xml:space="preserve"> en matière d'exécution des missions d'enquêtes ou de discipline de l’ARCOP</w:t>
      </w:r>
      <w:r w:rsidR="00583561" w:rsidRPr="00B96DAE">
        <w:rPr>
          <w:rFonts w:ascii="Rockwell" w:eastAsia="Arial" w:hAnsi="Rockwell" w:cs="Arial"/>
          <w:sz w:val="24"/>
          <w:szCs w:val="24"/>
        </w:rPr>
        <w:t>.</w:t>
      </w:r>
    </w:p>
    <w:p w14:paraId="003DF4FA" w14:textId="5F79EF8C" w:rsidR="00F170ED" w:rsidRPr="00B96DAE" w:rsidRDefault="002C634C"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hAnsi="Rockwell"/>
          <w:b/>
          <w:bCs/>
          <w:sz w:val="24"/>
          <w:szCs w:val="24"/>
        </w:rPr>
        <w:t>Article 202, 4</w:t>
      </w:r>
      <w:r w:rsidRPr="00B96DAE">
        <w:rPr>
          <w:rFonts w:ascii="Rockwell" w:hAnsi="Rockwell"/>
          <w:b/>
          <w:bCs/>
          <w:sz w:val="24"/>
          <w:szCs w:val="24"/>
          <w:vertAlign w:val="superscript"/>
        </w:rPr>
        <w:t>ème</w:t>
      </w:r>
      <w:r w:rsidRPr="00B96DAE">
        <w:rPr>
          <w:rFonts w:ascii="Rockwell" w:hAnsi="Rockwell"/>
          <w:b/>
          <w:bCs/>
          <w:sz w:val="24"/>
          <w:szCs w:val="24"/>
        </w:rPr>
        <w:t xml:space="preserve"> tiret </w:t>
      </w:r>
      <w:r w:rsidRPr="00B96DAE">
        <w:rPr>
          <w:rFonts w:ascii="Rockwell" w:eastAsia="Arial" w:hAnsi="Rockwell" w:cs="Arial"/>
          <w:b/>
          <w:bCs/>
          <w:sz w:val="24"/>
          <w:szCs w:val="24"/>
        </w:rPr>
        <w:t xml:space="preserve">(ancien </w:t>
      </w:r>
      <w:r w:rsidR="001D30F0">
        <w:rPr>
          <w:rFonts w:ascii="Rockwell" w:eastAsia="Arial" w:hAnsi="Rockwell" w:cs="Arial"/>
          <w:b/>
          <w:bCs/>
          <w:sz w:val="24"/>
          <w:szCs w:val="24"/>
        </w:rPr>
        <w:t xml:space="preserve">article </w:t>
      </w:r>
      <w:r w:rsidRPr="00B96DAE">
        <w:rPr>
          <w:rFonts w:ascii="Rockwell" w:eastAsia="Arial" w:hAnsi="Rockwell" w:cs="Arial"/>
          <w:b/>
          <w:bCs/>
          <w:sz w:val="24"/>
          <w:szCs w:val="24"/>
        </w:rPr>
        <w:t xml:space="preserve">177, </w:t>
      </w:r>
      <w:r w:rsidRPr="00B96DAE">
        <w:rPr>
          <w:rFonts w:ascii="Rockwell" w:hAnsi="Rockwell"/>
          <w:b/>
          <w:bCs/>
          <w:sz w:val="24"/>
          <w:szCs w:val="24"/>
        </w:rPr>
        <w:t>5</w:t>
      </w:r>
      <w:r w:rsidRPr="00B96DAE">
        <w:rPr>
          <w:rFonts w:ascii="Rockwell" w:hAnsi="Rockwell"/>
          <w:b/>
          <w:bCs/>
          <w:sz w:val="24"/>
          <w:szCs w:val="24"/>
          <w:vertAlign w:val="superscript"/>
        </w:rPr>
        <w:t>ème</w:t>
      </w:r>
      <w:r w:rsidRPr="00B96DAE">
        <w:rPr>
          <w:rFonts w:ascii="Rockwell" w:eastAsia="Arial" w:hAnsi="Rockwell" w:cs="Arial"/>
          <w:b/>
          <w:bCs/>
          <w:sz w:val="24"/>
          <w:szCs w:val="24"/>
        </w:rPr>
        <w:t xml:space="preserve">) </w:t>
      </w:r>
      <w:r w:rsidRPr="00B96DAE">
        <w:rPr>
          <w:rFonts w:ascii="Rockwell" w:hAnsi="Rockwell"/>
          <w:b/>
          <w:bCs/>
          <w:sz w:val="24"/>
          <w:szCs w:val="24"/>
        </w:rPr>
        <w:t>:</w:t>
      </w:r>
      <w:r w:rsidRPr="00B96DAE">
        <w:rPr>
          <w:rFonts w:ascii="Rockwell" w:hAnsi="Rockwell"/>
          <w:sz w:val="24"/>
          <w:szCs w:val="24"/>
        </w:rPr>
        <w:t xml:space="preserve"> la suppression de l’expression « …</w:t>
      </w:r>
      <w:r w:rsidRPr="00B96DAE">
        <w:rPr>
          <w:rFonts w:ascii="Rockwell" w:hAnsi="Rockwell"/>
          <w:b/>
          <w:bCs/>
          <w:sz w:val="24"/>
          <w:szCs w:val="24"/>
        </w:rPr>
        <w:t>de manière caractérisée</w:t>
      </w:r>
      <w:r w:rsidRPr="00B96DAE">
        <w:rPr>
          <w:rFonts w:ascii="Rockwell" w:hAnsi="Rockwell"/>
          <w:sz w:val="24"/>
          <w:szCs w:val="24"/>
        </w:rPr>
        <w:t>… ».</w:t>
      </w:r>
    </w:p>
    <w:p w14:paraId="013C312A" w14:textId="77777777" w:rsidR="00C11C6C" w:rsidRPr="00B96DAE" w:rsidRDefault="00C11C6C"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203</w:t>
      </w:r>
      <w:r w:rsidRPr="00B96DAE">
        <w:rPr>
          <w:rFonts w:ascii="Rockwell" w:eastAsia="Arial" w:hAnsi="Rockwell" w:cs="Arial"/>
          <w:sz w:val="24"/>
          <w:szCs w:val="24"/>
        </w:rPr>
        <w:t> : les prise en compte de sanctions contre les conseils des candidats, les soumissionnaires, les attributaires et les titulaires dans le cadre du règlement des différends.</w:t>
      </w:r>
    </w:p>
    <w:p w14:paraId="085905E0" w14:textId="77777777" w:rsidR="00C11C6C" w:rsidRPr="00B96DAE" w:rsidRDefault="00583561"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20</w:t>
      </w:r>
      <w:r w:rsidR="00C11C6C" w:rsidRPr="00B96DAE">
        <w:rPr>
          <w:rFonts w:ascii="Rockwell" w:eastAsia="Arial" w:hAnsi="Rockwell" w:cs="Arial"/>
          <w:b/>
          <w:sz w:val="24"/>
          <w:szCs w:val="24"/>
        </w:rPr>
        <w:t>7</w:t>
      </w:r>
      <w:r w:rsidRPr="00B96DAE">
        <w:rPr>
          <w:rFonts w:ascii="Rockwell" w:eastAsia="Arial" w:hAnsi="Rockwell" w:cs="Arial"/>
          <w:sz w:val="24"/>
          <w:szCs w:val="24"/>
        </w:rPr>
        <w:t> : l’obligation pour les autorités contractantes de communiquer à l’ARCOP, les preuves de tout incident d’exécution de nature à fonder la défaillance d’un cocontractant déjà prévu dans une circulaire. L’article les oblige également à transmettre les preuves de tout manquement d’un soumissionnaire à ses engagements liés à la déclaration de garantie</w:t>
      </w:r>
      <w:r w:rsidR="002C634C" w:rsidRPr="00B96DAE">
        <w:rPr>
          <w:rFonts w:ascii="Rockwell" w:eastAsia="Arial" w:hAnsi="Rockwell" w:cs="Arial"/>
          <w:sz w:val="24"/>
          <w:szCs w:val="24"/>
        </w:rPr>
        <w:t>.</w:t>
      </w:r>
    </w:p>
    <w:p w14:paraId="5B93A151" w14:textId="77777777" w:rsidR="00C11C6C" w:rsidRPr="00B96DAE" w:rsidRDefault="00F170E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20</w:t>
      </w:r>
      <w:r w:rsidR="00C11C6C" w:rsidRPr="00B96DAE">
        <w:rPr>
          <w:rFonts w:ascii="Rockwell" w:eastAsia="Arial" w:hAnsi="Rockwell" w:cs="Arial"/>
          <w:b/>
          <w:sz w:val="24"/>
          <w:szCs w:val="24"/>
        </w:rPr>
        <w:t>8</w:t>
      </w:r>
      <w:r w:rsidRPr="00B96DAE">
        <w:rPr>
          <w:rFonts w:ascii="Rockwell" w:eastAsia="Arial" w:hAnsi="Rockwell" w:cs="Arial"/>
          <w:b/>
          <w:sz w:val="24"/>
          <w:szCs w:val="24"/>
        </w:rPr>
        <w:t xml:space="preserve"> et 20</w:t>
      </w:r>
      <w:r w:rsidR="00C11C6C" w:rsidRPr="00B96DAE">
        <w:rPr>
          <w:rFonts w:ascii="Rockwell" w:eastAsia="Arial" w:hAnsi="Rockwell" w:cs="Arial"/>
          <w:b/>
          <w:sz w:val="24"/>
          <w:szCs w:val="24"/>
        </w:rPr>
        <w:t>9</w:t>
      </w:r>
      <w:r w:rsidRPr="00B96DAE">
        <w:rPr>
          <w:rFonts w:ascii="Rockwell" w:eastAsia="Arial" w:hAnsi="Rockwell" w:cs="Arial"/>
          <w:b/>
          <w:sz w:val="24"/>
          <w:szCs w:val="24"/>
        </w:rPr>
        <w:t> </w:t>
      </w:r>
      <w:r w:rsidRPr="00B96DAE">
        <w:rPr>
          <w:rFonts w:ascii="Rockwell" w:eastAsia="Arial" w:hAnsi="Rockwell" w:cs="Arial"/>
          <w:sz w:val="24"/>
          <w:szCs w:val="24"/>
        </w:rPr>
        <w:t>:</w:t>
      </w:r>
      <w:r w:rsidRPr="00B96DAE">
        <w:rPr>
          <w:rFonts w:ascii="Rockwell" w:hAnsi="Rockwell"/>
          <w:sz w:val="24"/>
          <w:szCs w:val="24"/>
        </w:rPr>
        <w:t xml:space="preserve"> </w:t>
      </w:r>
      <w:r w:rsidRPr="00B96DAE">
        <w:rPr>
          <w:rFonts w:ascii="Rockwell" w:eastAsia="Arial" w:hAnsi="Rockwell" w:cs="Arial"/>
          <w:sz w:val="24"/>
          <w:szCs w:val="24"/>
        </w:rPr>
        <w:t>l’introduction de</w:t>
      </w:r>
      <w:r w:rsidRPr="00B96DAE">
        <w:rPr>
          <w:rFonts w:ascii="Rockwell" w:hAnsi="Rockwell"/>
          <w:sz w:val="24"/>
          <w:szCs w:val="24"/>
        </w:rPr>
        <w:t xml:space="preserve"> </w:t>
      </w:r>
      <w:r w:rsidRPr="00B96DAE">
        <w:rPr>
          <w:rFonts w:ascii="Rockwell" w:eastAsia="Arial" w:hAnsi="Rockwell" w:cs="Arial"/>
          <w:sz w:val="24"/>
          <w:szCs w:val="24"/>
        </w:rPr>
        <w:t>la faculté pour les autorités contractantes d’opter pour des scellés pour sécuriser les copies des offres reçues plutôt que de faire parapher des pièces obligatoires</w:t>
      </w:r>
      <w:r w:rsidR="00C11C6C" w:rsidRPr="00B96DAE">
        <w:rPr>
          <w:rFonts w:ascii="Rockwell" w:eastAsia="Arial" w:hAnsi="Rockwell" w:cs="Arial"/>
          <w:sz w:val="24"/>
          <w:szCs w:val="24"/>
        </w:rPr>
        <w:t>.</w:t>
      </w:r>
    </w:p>
    <w:p w14:paraId="394038CA" w14:textId="77777777" w:rsidR="00C11C6C" w:rsidRPr="00B96DAE" w:rsidRDefault="00F170E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lastRenderedPageBreak/>
        <w:t>Article 2</w:t>
      </w:r>
      <w:r w:rsidR="00C11C6C" w:rsidRPr="00B96DAE">
        <w:rPr>
          <w:rFonts w:ascii="Rockwell" w:eastAsia="Arial" w:hAnsi="Rockwell" w:cs="Arial"/>
          <w:b/>
          <w:sz w:val="24"/>
          <w:szCs w:val="24"/>
        </w:rPr>
        <w:t>10</w:t>
      </w:r>
      <w:r w:rsidRPr="00B96DAE">
        <w:rPr>
          <w:rFonts w:ascii="Rockwell" w:eastAsia="Arial" w:hAnsi="Rockwell" w:cs="Arial"/>
          <w:b/>
          <w:sz w:val="24"/>
          <w:szCs w:val="24"/>
        </w:rPr>
        <w:t> </w:t>
      </w:r>
      <w:r w:rsidRPr="00B96DAE">
        <w:rPr>
          <w:rFonts w:ascii="Rockwell" w:eastAsia="Arial" w:hAnsi="Rockwell" w:cs="Arial"/>
          <w:sz w:val="24"/>
          <w:szCs w:val="24"/>
        </w:rPr>
        <w:t>: la prise en compte des implications de la loi 1% artistique pour la décoration des bâtiments administratifs</w:t>
      </w:r>
      <w:r w:rsidR="00C11C6C" w:rsidRPr="00B96DAE">
        <w:rPr>
          <w:rFonts w:ascii="Rockwell" w:eastAsia="Arial" w:hAnsi="Rockwell" w:cs="Arial"/>
          <w:sz w:val="24"/>
          <w:szCs w:val="24"/>
        </w:rPr>
        <w:t>.</w:t>
      </w:r>
    </w:p>
    <w:p w14:paraId="614A8A90" w14:textId="19F0C7DC" w:rsidR="00F170ED" w:rsidRPr="00B96DAE" w:rsidRDefault="00F170ED" w:rsidP="00936976">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21</w:t>
      </w:r>
      <w:r w:rsidR="00EB01DA" w:rsidRPr="00B96DAE">
        <w:rPr>
          <w:rFonts w:ascii="Rockwell" w:eastAsia="Arial" w:hAnsi="Rockwell" w:cs="Arial"/>
          <w:b/>
          <w:sz w:val="24"/>
          <w:szCs w:val="24"/>
        </w:rPr>
        <w:t>1</w:t>
      </w:r>
      <w:r w:rsidRPr="00B96DAE">
        <w:rPr>
          <w:rFonts w:ascii="Rockwell" w:eastAsia="Arial" w:hAnsi="Rockwell" w:cs="Arial"/>
          <w:b/>
          <w:sz w:val="24"/>
          <w:szCs w:val="24"/>
        </w:rPr>
        <w:t> </w:t>
      </w:r>
      <w:r w:rsidRPr="00B96DAE">
        <w:rPr>
          <w:rFonts w:ascii="Rockwell" w:eastAsia="Arial" w:hAnsi="Rockwell" w:cs="Arial"/>
          <w:sz w:val="24"/>
          <w:szCs w:val="24"/>
        </w:rPr>
        <w:t xml:space="preserve">: l’encadrement des modalités d’acquisition </w:t>
      </w:r>
      <w:r w:rsidR="00EB01DA" w:rsidRPr="00B96DAE">
        <w:rPr>
          <w:rFonts w:ascii="Rockwell" w:eastAsia="Arial" w:hAnsi="Rockwell" w:cs="Arial"/>
          <w:sz w:val="24"/>
          <w:szCs w:val="24"/>
        </w:rPr>
        <w:t xml:space="preserve">et d’entretien </w:t>
      </w:r>
      <w:r w:rsidRPr="00B96DAE">
        <w:rPr>
          <w:rFonts w:ascii="Rockwell" w:eastAsia="Arial" w:hAnsi="Rockwell" w:cs="Arial"/>
          <w:sz w:val="24"/>
          <w:szCs w:val="24"/>
        </w:rPr>
        <w:t xml:space="preserve">des </w:t>
      </w:r>
      <w:r w:rsidR="00EB01DA" w:rsidRPr="00B96DAE">
        <w:rPr>
          <w:rFonts w:ascii="Rockwell" w:eastAsia="Arial" w:hAnsi="Rockwell" w:cs="Arial"/>
          <w:sz w:val="24"/>
          <w:szCs w:val="24"/>
        </w:rPr>
        <w:t>œuvres</w:t>
      </w:r>
      <w:r w:rsidRPr="00B96DAE">
        <w:rPr>
          <w:rFonts w:ascii="Rockwell" w:eastAsia="Arial" w:hAnsi="Rockwell" w:cs="Arial"/>
          <w:sz w:val="24"/>
          <w:szCs w:val="24"/>
        </w:rPr>
        <w:t xml:space="preserve"> d’art pour la décoration des bâtiments administratifs</w:t>
      </w:r>
      <w:r w:rsidR="00EB01DA" w:rsidRPr="00B96DAE">
        <w:rPr>
          <w:rFonts w:ascii="Rockwell" w:eastAsia="Arial" w:hAnsi="Rockwell" w:cs="Arial"/>
          <w:sz w:val="24"/>
          <w:szCs w:val="24"/>
        </w:rPr>
        <w:t xml:space="preserve"> notamment la composition de la réception.</w:t>
      </w:r>
    </w:p>
    <w:p w14:paraId="3F4241E1" w14:textId="212EC1A6" w:rsidR="0044308F" w:rsidRPr="00936976" w:rsidRDefault="00F170ED" w:rsidP="00936976">
      <w:pPr>
        <w:pStyle w:val="Paragraphedeliste"/>
        <w:numPr>
          <w:ilvl w:val="0"/>
          <w:numId w:val="38"/>
        </w:numPr>
        <w:tabs>
          <w:tab w:val="left" w:pos="1560"/>
        </w:tabs>
        <w:spacing w:before="120" w:after="120" w:line="240" w:lineRule="auto"/>
        <w:contextualSpacing w:val="0"/>
        <w:jc w:val="both"/>
        <w:rPr>
          <w:rFonts w:ascii="Rockwell" w:eastAsia="Arial" w:hAnsi="Rockwell" w:cs="Arial"/>
          <w:sz w:val="24"/>
          <w:szCs w:val="24"/>
        </w:rPr>
      </w:pPr>
      <w:r w:rsidRPr="00B96DAE">
        <w:rPr>
          <w:rFonts w:ascii="Rockwell" w:eastAsia="Arial" w:hAnsi="Rockwell" w:cs="Arial"/>
          <w:b/>
          <w:sz w:val="24"/>
          <w:szCs w:val="24"/>
        </w:rPr>
        <w:t>Article 21</w:t>
      </w:r>
      <w:r w:rsidR="00EB01DA" w:rsidRPr="00B96DAE">
        <w:rPr>
          <w:rFonts w:ascii="Rockwell" w:eastAsia="Arial" w:hAnsi="Rockwell" w:cs="Arial"/>
          <w:b/>
          <w:sz w:val="24"/>
          <w:szCs w:val="24"/>
        </w:rPr>
        <w:t>2</w:t>
      </w:r>
      <w:r w:rsidRPr="00B96DAE">
        <w:rPr>
          <w:rFonts w:ascii="Rockwell" w:eastAsia="Arial" w:hAnsi="Rockwell" w:cs="Arial"/>
          <w:b/>
          <w:sz w:val="24"/>
          <w:szCs w:val="24"/>
        </w:rPr>
        <w:t> </w:t>
      </w:r>
      <w:r w:rsidRPr="00B96DAE">
        <w:rPr>
          <w:rFonts w:ascii="Rockwell" w:eastAsia="Arial" w:hAnsi="Rockwell" w:cs="Arial"/>
          <w:sz w:val="24"/>
          <w:szCs w:val="24"/>
        </w:rPr>
        <w:t>: l’encadrement des modalités d’acquisition des consommables</w:t>
      </w:r>
      <w:r w:rsidR="00EB01DA" w:rsidRPr="00B96DAE">
        <w:rPr>
          <w:rFonts w:ascii="Rockwell" w:eastAsia="Arial" w:hAnsi="Rockwell" w:cs="Arial"/>
          <w:sz w:val="24"/>
          <w:szCs w:val="24"/>
        </w:rPr>
        <w:t xml:space="preserve">, </w:t>
      </w:r>
      <w:r w:rsidRPr="00B96DAE">
        <w:rPr>
          <w:rFonts w:ascii="Rockwell" w:eastAsia="Arial" w:hAnsi="Rockwell" w:cs="Arial"/>
          <w:sz w:val="24"/>
          <w:szCs w:val="24"/>
        </w:rPr>
        <w:t xml:space="preserve">d’entretien </w:t>
      </w:r>
      <w:r w:rsidR="00EB01DA" w:rsidRPr="00B96DAE">
        <w:rPr>
          <w:rFonts w:ascii="Rockwell" w:eastAsia="Arial" w:hAnsi="Rockwell" w:cs="Arial"/>
          <w:sz w:val="24"/>
          <w:szCs w:val="24"/>
        </w:rPr>
        <w:t xml:space="preserve">et de </w:t>
      </w:r>
      <w:r w:rsidRPr="00B96DAE">
        <w:rPr>
          <w:rFonts w:ascii="Rockwell" w:eastAsia="Arial" w:hAnsi="Rockwell" w:cs="Arial"/>
          <w:sz w:val="24"/>
          <w:szCs w:val="24"/>
        </w:rPr>
        <w:t>maintenance des équipements reçus en don par les autorités contractantes.</w:t>
      </w:r>
    </w:p>
    <w:sectPr w:rsidR="0044308F" w:rsidRPr="00936976" w:rsidSect="00C02D73">
      <w:footerReference w:type="default" r:id="rId8"/>
      <w:pgSz w:w="11906" w:h="16838"/>
      <w:pgMar w:top="1418"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E411E" w14:textId="77777777" w:rsidR="0013225B" w:rsidRDefault="0013225B" w:rsidP="00993683">
      <w:pPr>
        <w:spacing w:after="0" w:line="240" w:lineRule="auto"/>
      </w:pPr>
      <w:r>
        <w:separator/>
      </w:r>
    </w:p>
  </w:endnote>
  <w:endnote w:type="continuationSeparator" w:id="0">
    <w:p w14:paraId="7F96065D" w14:textId="77777777" w:rsidR="0013225B" w:rsidRDefault="0013225B" w:rsidP="0099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916173"/>
      <w:docPartObj>
        <w:docPartGallery w:val="Page Numbers (Bottom of Page)"/>
        <w:docPartUnique/>
      </w:docPartObj>
    </w:sdtPr>
    <w:sdtEndPr/>
    <w:sdtContent>
      <w:p w14:paraId="7C457E98" w14:textId="5A3319F2" w:rsidR="00B247D3" w:rsidRDefault="00B247D3">
        <w:pPr>
          <w:pStyle w:val="Pieddepage"/>
        </w:pPr>
        <w:r>
          <w:rPr>
            <w:noProof/>
          </w:rPr>
          <mc:AlternateContent>
            <mc:Choice Requires="wps">
              <w:drawing>
                <wp:anchor distT="0" distB="0" distL="114300" distR="114300" simplePos="0" relativeHeight="251659264" behindDoc="0" locked="0" layoutInCell="0" allowOverlap="1" wp14:anchorId="02BB6A6B" wp14:editId="0A3A5313">
                  <wp:simplePos x="0" y="0"/>
                  <wp:positionH relativeFrom="rightMargin">
                    <wp:posOffset>12138</wp:posOffset>
                  </wp:positionH>
                  <wp:positionV relativeFrom="bottomMargin">
                    <wp:posOffset>66134</wp:posOffset>
                  </wp:positionV>
                  <wp:extent cx="368300" cy="387714"/>
                  <wp:effectExtent l="0" t="0" r="12700"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7714"/>
                          </a:xfrm>
                          <a:prstGeom prst="foldedCorner">
                            <a:avLst>
                              <a:gd name="adj" fmla="val 34560"/>
                            </a:avLst>
                          </a:prstGeom>
                          <a:solidFill>
                            <a:srgbClr val="FFFFFF"/>
                          </a:solidFill>
                          <a:ln w="3175">
                            <a:solidFill>
                              <a:srgbClr val="808080"/>
                            </a:solidFill>
                            <a:round/>
                            <a:headEnd/>
                            <a:tailEnd/>
                          </a:ln>
                        </wps:spPr>
                        <wps:txb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B6A6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95pt;margin-top:5.2pt;width:29pt;height:30.5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" o:allowincell="f" adj="14135" strokecolor="gray" strokeweight=".25pt">
                  <v:textbo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38260" w14:textId="77777777" w:rsidR="0013225B" w:rsidRDefault="0013225B" w:rsidP="00993683">
      <w:pPr>
        <w:spacing w:after="0" w:line="240" w:lineRule="auto"/>
      </w:pPr>
      <w:r>
        <w:separator/>
      </w:r>
    </w:p>
  </w:footnote>
  <w:footnote w:type="continuationSeparator" w:id="0">
    <w:p w14:paraId="1B869EBE" w14:textId="77777777" w:rsidR="0013225B" w:rsidRDefault="0013225B" w:rsidP="00993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6E54143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4A3A7B"/>
    <w:multiLevelType w:val="hybridMultilevel"/>
    <w:tmpl w:val="874CF844"/>
    <w:lvl w:ilvl="0" w:tplc="BC324E8A">
      <w:start w:val="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F1DBA"/>
    <w:multiLevelType w:val="multilevel"/>
    <w:tmpl w:val="5D085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BA1EAB"/>
    <w:multiLevelType w:val="hybridMultilevel"/>
    <w:tmpl w:val="953A3AB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BEE6111"/>
    <w:multiLevelType w:val="hybridMultilevel"/>
    <w:tmpl w:val="3D74E42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DF63A55"/>
    <w:multiLevelType w:val="multilevel"/>
    <w:tmpl w:val="0010E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0045BA"/>
    <w:multiLevelType w:val="hybridMultilevel"/>
    <w:tmpl w:val="45AE80AA"/>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7" w15:restartNumberingAfterBreak="0">
    <w:nsid w:val="0F335550"/>
    <w:multiLevelType w:val="hybridMultilevel"/>
    <w:tmpl w:val="49967696"/>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8" w15:restartNumberingAfterBreak="0">
    <w:nsid w:val="0FA727DD"/>
    <w:multiLevelType w:val="multilevel"/>
    <w:tmpl w:val="0E007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605473"/>
    <w:multiLevelType w:val="hybridMultilevel"/>
    <w:tmpl w:val="F37ED684"/>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0" w15:restartNumberingAfterBreak="0">
    <w:nsid w:val="1844105A"/>
    <w:multiLevelType w:val="hybridMultilevel"/>
    <w:tmpl w:val="F6DC006C"/>
    <w:lvl w:ilvl="0" w:tplc="3730BB5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C26477"/>
    <w:multiLevelType w:val="multilevel"/>
    <w:tmpl w:val="DF9E2F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8503CE"/>
    <w:multiLevelType w:val="hybridMultilevel"/>
    <w:tmpl w:val="9A3C6D52"/>
    <w:lvl w:ilvl="0" w:tplc="1CBA89CA">
      <w:start w:val="2"/>
      <w:numFmt w:val="bullet"/>
      <w:lvlText w:val="-"/>
      <w:lvlJc w:val="left"/>
      <w:pPr>
        <w:ind w:left="1068" w:hanging="360"/>
      </w:pPr>
      <w:rPr>
        <w:rFonts w:ascii="Rockwell" w:eastAsia="Arial" w:hAnsi="Rockwel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BAD7B0F"/>
    <w:multiLevelType w:val="hybridMultilevel"/>
    <w:tmpl w:val="8810727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C5C1F51"/>
    <w:multiLevelType w:val="hybridMultilevel"/>
    <w:tmpl w:val="4D504B74"/>
    <w:lvl w:ilvl="0" w:tplc="4008CD0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3C5F20"/>
    <w:multiLevelType w:val="hybridMultilevel"/>
    <w:tmpl w:val="1DEC5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806B0E"/>
    <w:multiLevelType w:val="hybridMultilevel"/>
    <w:tmpl w:val="A446BB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1E5515"/>
    <w:multiLevelType w:val="hybridMultilevel"/>
    <w:tmpl w:val="90188A34"/>
    <w:lvl w:ilvl="0" w:tplc="D90AE7A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0C39A8"/>
    <w:multiLevelType w:val="hybridMultilevel"/>
    <w:tmpl w:val="35DED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4B65AC"/>
    <w:multiLevelType w:val="hybridMultilevel"/>
    <w:tmpl w:val="A858DB6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31E130C3"/>
    <w:multiLevelType w:val="hybridMultilevel"/>
    <w:tmpl w:val="E87A1236"/>
    <w:lvl w:ilvl="0" w:tplc="DE920206">
      <w:start w:val="5"/>
      <w:numFmt w:val="bullet"/>
      <w:lvlText w:val="-"/>
      <w:lvlJc w:val="left"/>
      <w:pPr>
        <w:ind w:left="720" w:hanging="360"/>
      </w:pPr>
      <w:rPr>
        <w:rFonts w:ascii="Rockwell" w:eastAsia="Calibri" w:hAnsi="Rockwel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7EC260A"/>
    <w:multiLevelType w:val="multilevel"/>
    <w:tmpl w:val="2DBCD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3" w15:restartNumberingAfterBreak="0">
    <w:nsid w:val="3D506030"/>
    <w:multiLevelType w:val="hybridMultilevel"/>
    <w:tmpl w:val="3790EE64"/>
    <w:lvl w:ilvl="0" w:tplc="6504DC86">
      <w:start w:val="5"/>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462D6B38"/>
    <w:multiLevelType w:val="hybridMultilevel"/>
    <w:tmpl w:val="0E68F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D7739F"/>
    <w:multiLevelType w:val="multilevel"/>
    <w:tmpl w:val="B48618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A4929F9"/>
    <w:multiLevelType w:val="hybridMultilevel"/>
    <w:tmpl w:val="DE7CB74C"/>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79237B"/>
    <w:multiLevelType w:val="hybridMultilevel"/>
    <w:tmpl w:val="CAEC3B1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8" w15:restartNumberingAfterBreak="0">
    <w:nsid w:val="4D823CBC"/>
    <w:multiLevelType w:val="hybridMultilevel"/>
    <w:tmpl w:val="37B0BE6A"/>
    <w:lvl w:ilvl="0" w:tplc="701A2E9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C727F5"/>
    <w:multiLevelType w:val="hybridMultilevel"/>
    <w:tmpl w:val="5EBE1F3E"/>
    <w:lvl w:ilvl="0" w:tplc="6504DC86">
      <w:start w:val="5"/>
      <w:numFmt w:val="bullet"/>
      <w:lvlText w:val="-"/>
      <w:lvlJc w:val="left"/>
      <w:pPr>
        <w:ind w:left="1637"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A86C1A"/>
    <w:multiLevelType w:val="hybridMultilevel"/>
    <w:tmpl w:val="DF3E0D38"/>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1" w15:restartNumberingAfterBreak="0">
    <w:nsid w:val="555C62AF"/>
    <w:multiLevelType w:val="hybridMultilevel"/>
    <w:tmpl w:val="B2644A44"/>
    <w:lvl w:ilvl="0" w:tplc="8F460726">
      <w:start w:val="1"/>
      <w:numFmt w:val="decimal"/>
      <w:lvlText w:val="%1."/>
      <w:lvlJc w:val="left"/>
      <w:pPr>
        <w:ind w:left="2771"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32" w15:restartNumberingAfterBreak="0">
    <w:nsid w:val="609E5C13"/>
    <w:multiLevelType w:val="hybridMultilevel"/>
    <w:tmpl w:val="46161EFA"/>
    <w:lvl w:ilvl="0" w:tplc="0C2A1B30">
      <w:start w:val="1"/>
      <w:numFmt w:val="bullet"/>
      <w:lvlText w:val="-"/>
      <w:lvlJc w:val="left"/>
      <w:pPr>
        <w:ind w:left="360" w:hanging="360"/>
      </w:pPr>
      <w:rPr>
        <w:rFonts w:ascii="Rockwell" w:eastAsia="Times New Roman" w:hAnsi="Rockwell"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61A36CEF"/>
    <w:multiLevelType w:val="multilevel"/>
    <w:tmpl w:val="DBE691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2EB1593"/>
    <w:multiLevelType w:val="hybridMultilevel"/>
    <w:tmpl w:val="B77245E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5" w15:restartNumberingAfterBreak="0">
    <w:nsid w:val="63F91557"/>
    <w:multiLevelType w:val="hybridMultilevel"/>
    <w:tmpl w:val="E226810C"/>
    <w:lvl w:ilvl="0" w:tplc="A4A0F7EA">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6BE64F0"/>
    <w:multiLevelType w:val="hybridMultilevel"/>
    <w:tmpl w:val="09A2FB80"/>
    <w:lvl w:ilvl="0" w:tplc="5134C0E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8321A4A"/>
    <w:multiLevelType w:val="multilevel"/>
    <w:tmpl w:val="936E4A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0E60207"/>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9" w15:restartNumberingAfterBreak="0">
    <w:nsid w:val="7346262A"/>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0" w15:restartNumberingAfterBreak="0">
    <w:nsid w:val="783F5757"/>
    <w:multiLevelType w:val="hybridMultilevel"/>
    <w:tmpl w:val="BCA0E4AA"/>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87C02DC"/>
    <w:multiLevelType w:val="hybridMultilevel"/>
    <w:tmpl w:val="68DADC26"/>
    <w:lvl w:ilvl="0" w:tplc="3730BB50">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9323882"/>
    <w:multiLevelType w:val="hybridMultilevel"/>
    <w:tmpl w:val="1CC61C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94638F9"/>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4" w15:restartNumberingAfterBreak="0">
    <w:nsid w:val="7BB820C0"/>
    <w:multiLevelType w:val="hybridMultilevel"/>
    <w:tmpl w:val="3CE8F7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D207E43"/>
    <w:multiLevelType w:val="hybridMultilevel"/>
    <w:tmpl w:val="5066DE4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15:restartNumberingAfterBreak="0">
    <w:nsid w:val="7D487FB5"/>
    <w:multiLevelType w:val="hybridMultilevel"/>
    <w:tmpl w:val="25CEB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541901">
    <w:abstractNumId w:val="2"/>
  </w:num>
  <w:num w:numId="2" w16cid:durableId="1374622041">
    <w:abstractNumId w:val="5"/>
  </w:num>
  <w:num w:numId="3" w16cid:durableId="1066614047">
    <w:abstractNumId w:val="21"/>
  </w:num>
  <w:num w:numId="4" w16cid:durableId="7144053">
    <w:abstractNumId w:val="37"/>
  </w:num>
  <w:num w:numId="5" w16cid:durableId="783035197">
    <w:abstractNumId w:val="25"/>
  </w:num>
  <w:num w:numId="6" w16cid:durableId="1105229336">
    <w:abstractNumId w:val="33"/>
  </w:num>
  <w:num w:numId="7" w16cid:durableId="1738934409">
    <w:abstractNumId w:val="8"/>
  </w:num>
  <w:num w:numId="8" w16cid:durableId="156119654">
    <w:abstractNumId w:val="11"/>
  </w:num>
  <w:num w:numId="9" w16cid:durableId="887182015">
    <w:abstractNumId w:val="15"/>
  </w:num>
  <w:num w:numId="10" w16cid:durableId="2128814524">
    <w:abstractNumId w:val="0"/>
  </w:num>
  <w:num w:numId="11" w16cid:durableId="809325825">
    <w:abstractNumId w:val="18"/>
  </w:num>
  <w:num w:numId="12" w16cid:durableId="300615110">
    <w:abstractNumId w:val="13"/>
  </w:num>
  <w:num w:numId="13" w16cid:durableId="1749158725">
    <w:abstractNumId w:val="30"/>
  </w:num>
  <w:num w:numId="14" w16cid:durableId="1929924556">
    <w:abstractNumId w:val="6"/>
  </w:num>
  <w:num w:numId="15" w16cid:durableId="763302291">
    <w:abstractNumId w:val="7"/>
  </w:num>
  <w:num w:numId="16" w16cid:durableId="456027055">
    <w:abstractNumId w:val="1"/>
  </w:num>
  <w:num w:numId="17" w16cid:durableId="1798714759">
    <w:abstractNumId w:val="46"/>
  </w:num>
  <w:num w:numId="18" w16cid:durableId="83690874">
    <w:abstractNumId w:val="24"/>
  </w:num>
  <w:num w:numId="19" w16cid:durableId="600182717">
    <w:abstractNumId w:val="9"/>
  </w:num>
  <w:num w:numId="20" w16cid:durableId="1131290600">
    <w:abstractNumId w:val="17"/>
  </w:num>
  <w:num w:numId="21" w16cid:durableId="640691820">
    <w:abstractNumId w:val="31"/>
  </w:num>
  <w:num w:numId="22" w16cid:durableId="674649240">
    <w:abstractNumId w:val="23"/>
  </w:num>
  <w:num w:numId="23" w16cid:durableId="1297293574">
    <w:abstractNumId w:val="27"/>
  </w:num>
  <w:num w:numId="24" w16cid:durableId="1934849379">
    <w:abstractNumId w:val="12"/>
  </w:num>
  <w:num w:numId="25" w16cid:durableId="1763531277">
    <w:abstractNumId w:val="29"/>
  </w:num>
  <w:num w:numId="26" w16cid:durableId="2129658400">
    <w:abstractNumId w:val="36"/>
  </w:num>
  <w:num w:numId="27" w16cid:durableId="444926097">
    <w:abstractNumId w:val="20"/>
  </w:num>
  <w:num w:numId="28" w16cid:durableId="1982885332">
    <w:abstractNumId w:val="40"/>
  </w:num>
  <w:num w:numId="29" w16cid:durableId="431632207">
    <w:abstractNumId w:val="28"/>
  </w:num>
  <w:num w:numId="30" w16cid:durableId="1014768080">
    <w:abstractNumId w:val="22"/>
  </w:num>
  <w:num w:numId="31" w16cid:durableId="1971591353">
    <w:abstractNumId w:val="14"/>
  </w:num>
  <w:num w:numId="32" w16cid:durableId="267006477">
    <w:abstractNumId w:val="3"/>
  </w:num>
  <w:num w:numId="33" w16cid:durableId="193082468">
    <w:abstractNumId w:val="26"/>
  </w:num>
  <w:num w:numId="34" w16cid:durableId="1468744534">
    <w:abstractNumId w:val="42"/>
  </w:num>
  <w:num w:numId="35" w16cid:durableId="1233353625">
    <w:abstractNumId w:val="34"/>
  </w:num>
  <w:num w:numId="36" w16cid:durableId="1263608227">
    <w:abstractNumId w:val="39"/>
  </w:num>
  <w:num w:numId="37" w16cid:durableId="1944146329">
    <w:abstractNumId w:val="43"/>
  </w:num>
  <w:num w:numId="38" w16cid:durableId="213850830">
    <w:abstractNumId w:val="10"/>
  </w:num>
  <w:num w:numId="39" w16cid:durableId="1507087992">
    <w:abstractNumId w:val="41"/>
  </w:num>
  <w:num w:numId="40" w16cid:durableId="1959871810">
    <w:abstractNumId w:val="38"/>
  </w:num>
  <w:num w:numId="41" w16cid:durableId="781925129">
    <w:abstractNumId w:val="32"/>
  </w:num>
  <w:num w:numId="42" w16cid:durableId="127942840">
    <w:abstractNumId w:val="4"/>
  </w:num>
  <w:num w:numId="43" w16cid:durableId="177087676">
    <w:abstractNumId w:val="45"/>
  </w:num>
  <w:num w:numId="44" w16cid:durableId="515383944">
    <w:abstractNumId w:val="35"/>
  </w:num>
  <w:num w:numId="45" w16cid:durableId="1297879391">
    <w:abstractNumId w:val="16"/>
  </w:num>
  <w:num w:numId="46" w16cid:durableId="1555239225">
    <w:abstractNumId w:val="44"/>
  </w:num>
  <w:num w:numId="47" w16cid:durableId="10891531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C6"/>
    <w:rsid w:val="000032FD"/>
    <w:rsid w:val="000049D7"/>
    <w:rsid w:val="00004A35"/>
    <w:rsid w:val="00012A31"/>
    <w:rsid w:val="00013714"/>
    <w:rsid w:val="000148B4"/>
    <w:rsid w:val="00015392"/>
    <w:rsid w:val="00016150"/>
    <w:rsid w:val="000240B7"/>
    <w:rsid w:val="00024E89"/>
    <w:rsid w:val="0003036E"/>
    <w:rsid w:val="0003147B"/>
    <w:rsid w:val="0003489C"/>
    <w:rsid w:val="0003637E"/>
    <w:rsid w:val="0004032A"/>
    <w:rsid w:val="00043C42"/>
    <w:rsid w:val="00044797"/>
    <w:rsid w:val="0004654D"/>
    <w:rsid w:val="000468D5"/>
    <w:rsid w:val="0005056B"/>
    <w:rsid w:val="00050DE1"/>
    <w:rsid w:val="00051B4F"/>
    <w:rsid w:val="00051D65"/>
    <w:rsid w:val="00053235"/>
    <w:rsid w:val="00055A2D"/>
    <w:rsid w:val="000562CC"/>
    <w:rsid w:val="000600F5"/>
    <w:rsid w:val="000610D4"/>
    <w:rsid w:val="0006138A"/>
    <w:rsid w:val="000614FD"/>
    <w:rsid w:val="00061AC3"/>
    <w:rsid w:val="0006331E"/>
    <w:rsid w:val="00065FD5"/>
    <w:rsid w:val="00070812"/>
    <w:rsid w:val="00070FD5"/>
    <w:rsid w:val="00071793"/>
    <w:rsid w:val="00071B58"/>
    <w:rsid w:val="0007299A"/>
    <w:rsid w:val="000730D6"/>
    <w:rsid w:val="00080D0E"/>
    <w:rsid w:val="000810DA"/>
    <w:rsid w:val="0008130A"/>
    <w:rsid w:val="000822BB"/>
    <w:rsid w:val="00083472"/>
    <w:rsid w:val="00083E3A"/>
    <w:rsid w:val="0008419D"/>
    <w:rsid w:val="00084AF1"/>
    <w:rsid w:val="00091480"/>
    <w:rsid w:val="00091C1C"/>
    <w:rsid w:val="0009202A"/>
    <w:rsid w:val="00093584"/>
    <w:rsid w:val="00096429"/>
    <w:rsid w:val="000A1956"/>
    <w:rsid w:val="000A1FA8"/>
    <w:rsid w:val="000A24DF"/>
    <w:rsid w:val="000A4FCD"/>
    <w:rsid w:val="000A52D1"/>
    <w:rsid w:val="000A6E63"/>
    <w:rsid w:val="000B1757"/>
    <w:rsid w:val="000B3924"/>
    <w:rsid w:val="000B4F3C"/>
    <w:rsid w:val="000B5B77"/>
    <w:rsid w:val="000B7226"/>
    <w:rsid w:val="000C10A8"/>
    <w:rsid w:val="000C2362"/>
    <w:rsid w:val="000C3B90"/>
    <w:rsid w:val="000C5465"/>
    <w:rsid w:val="000C5735"/>
    <w:rsid w:val="000C5801"/>
    <w:rsid w:val="000C76F0"/>
    <w:rsid w:val="000D049A"/>
    <w:rsid w:val="000D2AA1"/>
    <w:rsid w:val="000D6D40"/>
    <w:rsid w:val="000E04D6"/>
    <w:rsid w:val="000E2674"/>
    <w:rsid w:val="000E2F66"/>
    <w:rsid w:val="000E4F01"/>
    <w:rsid w:val="000E5404"/>
    <w:rsid w:val="000F236D"/>
    <w:rsid w:val="000F400A"/>
    <w:rsid w:val="000F5960"/>
    <w:rsid w:val="000F68CA"/>
    <w:rsid w:val="000F7FFA"/>
    <w:rsid w:val="001001A1"/>
    <w:rsid w:val="0010038B"/>
    <w:rsid w:val="001007D2"/>
    <w:rsid w:val="00100E1E"/>
    <w:rsid w:val="0010162F"/>
    <w:rsid w:val="00104275"/>
    <w:rsid w:val="00104E79"/>
    <w:rsid w:val="0010534E"/>
    <w:rsid w:val="00105DE0"/>
    <w:rsid w:val="00106A05"/>
    <w:rsid w:val="00106C53"/>
    <w:rsid w:val="00112EF2"/>
    <w:rsid w:val="001131C3"/>
    <w:rsid w:val="0011323A"/>
    <w:rsid w:val="00120502"/>
    <w:rsid w:val="001230D6"/>
    <w:rsid w:val="00124E13"/>
    <w:rsid w:val="00124EB6"/>
    <w:rsid w:val="00125878"/>
    <w:rsid w:val="00127DEC"/>
    <w:rsid w:val="00131A5B"/>
    <w:rsid w:val="0013225B"/>
    <w:rsid w:val="00132DC4"/>
    <w:rsid w:val="00133A00"/>
    <w:rsid w:val="001427ED"/>
    <w:rsid w:val="001457A0"/>
    <w:rsid w:val="00145C0D"/>
    <w:rsid w:val="0014636C"/>
    <w:rsid w:val="0015350E"/>
    <w:rsid w:val="00153714"/>
    <w:rsid w:val="00154E5F"/>
    <w:rsid w:val="00157AF2"/>
    <w:rsid w:val="001616E7"/>
    <w:rsid w:val="00162DBF"/>
    <w:rsid w:val="00166A8B"/>
    <w:rsid w:val="001718CD"/>
    <w:rsid w:val="00171B24"/>
    <w:rsid w:val="00171D83"/>
    <w:rsid w:val="00174338"/>
    <w:rsid w:val="00174880"/>
    <w:rsid w:val="001817D5"/>
    <w:rsid w:val="00183A6E"/>
    <w:rsid w:val="00184640"/>
    <w:rsid w:val="00184C8E"/>
    <w:rsid w:val="00186378"/>
    <w:rsid w:val="0019196A"/>
    <w:rsid w:val="00195146"/>
    <w:rsid w:val="00196732"/>
    <w:rsid w:val="001970D4"/>
    <w:rsid w:val="001972D6"/>
    <w:rsid w:val="00197998"/>
    <w:rsid w:val="001A140E"/>
    <w:rsid w:val="001A22E8"/>
    <w:rsid w:val="001A53C9"/>
    <w:rsid w:val="001A592C"/>
    <w:rsid w:val="001B1CB5"/>
    <w:rsid w:val="001B3DDA"/>
    <w:rsid w:val="001B41E1"/>
    <w:rsid w:val="001B4F27"/>
    <w:rsid w:val="001B76A6"/>
    <w:rsid w:val="001C281A"/>
    <w:rsid w:val="001C2B0D"/>
    <w:rsid w:val="001C4019"/>
    <w:rsid w:val="001C440B"/>
    <w:rsid w:val="001C6047"/>
    <w:rsid w:val="001C719A"/>
    <w:rsid w:val="001C7381"/>
    <w:rsid w:val="001C7C2F"/>
    <w:rsid w:val="001C7F2F"/>
    <w:rsid w:val="001D30F0"/>
    <w:rsid w:val="001D3F17"/>
    <w:rsid w:val="001E028B"/>
    <w:rsid w:val="001E1505"/>
    <w:rsid w:val="001E360A"/>
    <w:rsid w:val="001E7451"/>
    <w:rsid w:val="001F413C"/>
    <w:rsid w:val="001F456C"/>
    <w:rsid w:val="001F507C"/>
    <w:rsid w:val="001F5495"/>
    <w:rsid w:val="001F5A6C"/>
    <w:rsid w:val="001F62FA"/>
    <w:rsid w:val="001F695D"/>
    <w:rsid w:val="001F7E30"/>
    <w:rsid w:val="002016E1"/>
    <w:rsid w:val="00201B1B"/>
    <w:rsid w:val="0020232D"/>
    <w:rsid w:val="00204F7C"/>
    <w:rsid w:val="00205D7A"/>
    <w:rsid w:val="00206802"/>
    <w:rsid w:val="00206C86"/>
    <w:rsid w:val="00207244"/>
    <w:rsid w:val="0020769B"/>
    <w:rsid w:val="00210D6E"/>
    <w:rsid w:val="00211031"/>
    <w:rsid w:val="00212390"/>
    <w:rsid w:val="00213CC3"/>
    <w:rsid w:val="00215FBF"/>
    <w:rsid w:val="0021653D"/>
    <w:rsid w:val="00220882"/>
    <w:rsid w:val="0022428C"/>
    <w:rsid w:val="00226B2A"/>
    <w:rsid w:val="00226BE4"/>
    <w:rsid w:val="00232F0E"/>
    <w:rsid w:val="0023570C"/>
    <w:rsid w:val="002358B0"/>
    <w:rsid w:val="00237BCE"/>
    <w:rsid w:val="00237EC1"/>
    <w:rsid w:val="00243BD9"/>
    <w:rsid w:val="002452CA"/>
    <w:rsid w:val="00253076"/>
    <w:rsid w:val="00253300"/>
    <w:rsid w:val="00253CB5"/>
    <w:rsid w:val="00254CC6"/>
    <w:rsid w:val="00255233"/>
    <w:rsid w:val="0025583B"/>
    <w:rsid w:val="002607A1"/>
    <w:rsid w:val="0026180C"/>
    <w:rsid w:val="00263D93"/>
    <w:rsid w:val="0026584E"/>
    <w:rsid w:val="00265DBE"/>
    <w:rsid w:val="002679CB"/>
    <w:rsid w:val="0027237A"/>
    <w:rsid w:val="002724DB"/>
    <w:rsid w:val="00272FE3"/>
    <w:rsid w:val="00274BDD"/>
    <w:rsid w:val="002773DE"/>
    <w:rsid w:val="0027798E"/>
    <w:rsid w:val="002818C9"/>
    <w:rsid w:val="00281CDC"/>
    <w:rsid w:val="00282464"/>
    <w:rsid w:val="0028286B"/>
    <w:rsid w:val="0028358E"/>
    <w:rsid w:val="0028382B"/>
    <w:rsid w:val="00284660"/>
    <w:rsid w:val="0028794C"/>
    <w:rsid w:val="00287B04"/>
    <w:rsid w:val="0029357A"/>
    <w:rsid w:val="00294D7D"/>
    <w:rsid w:val="00294FB7"/>
    <w:rsid w:val="0029754C"/>
    <w:rsid w:val="002A0625"/>
    <w:rsid w:val="002A12C5"/>
    <w:rsid w:val="002A2681"/>
    <w:rsid w:val="002A35E4"/>
    <w:rsid w:val="002A40EA"/>
    <w:rsid w:val="002A6AD5"/>
    <w:rsid w:val="002B0E2B"/>
    <w:rsid w:val="002B283D"/>
    <w:rsid w:val="002B2B89"/>
    <w:rsid w:val="002B374F"/>
    <w:rsid w:val="002B4708"/>
    <w:rsid w:val="002B57E7"/>
    <w:rsid w:val="002B64AE"/>
    <w:rsid w:val="002B6EFF"/>
    <w:rsid w:val="002B7EAF"/>
    <w:rsid w:val="002C4312"/>
    <w:rsid w:val="002C5D15"/>
    <w:rsid w:val="002C634C"/>
    <w:rsid w:val="002C7387"/>
    <w:rsid w:val="002D0DE8"/>
    <w:rsid w:val="002D2E3D"/>
    <w:rsid w:val="002D351D"/>
    <w:rsid w:val="002D6DAA"/>
    <w:rsid w:val="002E01FD"/>
    <w:rsid w:val="002E274C"/>
    <w:rsid w:val="002E3577"/>
    <w:rsid w:val="002E51C3"/>
    <w:rsid w:val="002F5EB6"/>
    <w:rsid w:val="002F5ECB"/>
    <w:rsid w:val="0030372C"/>
    <w:rsid w:val="00304813"/>
    <w:rsid w:val="00305472"/>
    <w:rsid w:val="00305C04"/>
    <w:rsid w:val="00310792"/>
    <w:rsid w:val="00310CDF"/>
    <w:rsid w:val="0031344F"/>
    <w:rsid w:val="00315918"/>
    <w:rsid w:val="00316556"/>
    <w:rsid w:val="00317645"/>
    <w:rsid w:val="00317A85"/>
    <w:rsid w:val="00320802"/>
    <w:rsid w:val="00326E03"/>
    <w:rsid w:val="00327F49"/>
    <w:rsid w:val="00327FDB"/>
    <w:rsid w:val="0033223B"/>
    <w:rsid w:val="003322B1"/>
    <w:rsid w:val="003344C3"/>
    <w:rsid w:val="00334C9A"/>
    <w:rsid w:val="00341771"/>
    <w:rsid w:val="00341E79"/>
    <w:rsid w:val="0034221E"/>
    <w:rsid w:val="003439A0"/>
    <w:rsid w:val="00346C78"/>
    <w:rsid w:val="00350234"/>
    <w:rsid w:val="00352230"/>
    <w:rsid w:val="00353E38"/>
    <w:rsid w:val="00355B31"/>
    <w:rsid w:val="00357D3E"/>
    <w:rsid w:val="00361228"/>
    <w:rsid w:val="00363198"/>
    <w:rsid w:val="00363671"/>
    <w:rsid w:val="0036719A"/>
    <w:rsid w:val="00370594"/>
    <w:rsid w:val="00371411"/>
    <w:rsid w:val="00371AAB"/>
    <w:rsid w:val="00371D0F"/>
    <w:rsid w:val="00372172"/>
    <w:rsid w:val="003721B3"/>
    <w:rsid w:val="003748D7"/>
    <w:rsid w:val="00375A61"/>
    <w:rsid w:val="003812DA"/>
    <w:rsid w:val="00381CF8"/>
    <w:rsid w:val="00382783"/>
    <w:rsid w:val="00384988"/>
    <w:rsid w:val="00385EE0"/>
    <w:rsid w:val="00386FB3"/>
    <w:rsid w:val="003942F2"/>
    <w:rsid w:val="00394F79"/>
    <w:rsid w:val="003A2CB1"/>
    <w:rsid w:val="003A3998"/>
    <w:rsid w:val="003B07AC"/>
    <w:rsid w:val="003B1269"/>
    <w:rsid w:val="003B1621"/>
    <w:rsid w:val="003B2BBB"/>
    <w:rsid w:val="003B34FE"/>
    <w:rsid w:val="003B3E54"/>
    <w:rsid w:val="003B54C8"/>
    <w:rsid w:val="003B762E"/>
    <w:rsid w:val="003B7B52"/>
    <w:rsid w:val="003C3455"/>
    <w:rsid w:val="003C5062"/>
    <w:rsid w:val="003C5386"/>
    <w:rsid w:val="003D2CE1"/>
    <w:rsid w:val="003D36F8"/>
    <w:rsid w:val="003D4F14"/>
    <w:rsid w:val="003E1384"/>
    <w:rsid w:val="003E3A7B"/>
    <w:rsid w:val="003E5808"/>
    <w:rsid w:val="003E5829"/>
    <w:rsid w:val="003E6A0D"/>
    <w:rsid w:val="003E6A1D"/>
    <w:rsid w:val="003E6FEE"/>
    <w:rsid w:val="003E76A8"/>
    <w:rsid w:val="003F21F2"/>
    <w:rsid w:val="003F2270"/>
    <w:rsid w:val="003F3D17"/>
    <w:rsid w:val="0040100A"/>
    <w:rsid w:val="00403DC1"/>
    <w:rsid w:val="00404684"/>
    <w:rsid w:val="00405622"/>
    <w:rsid w:val="00406C55"/>
    <w:rsid w:val="00412000"/>
    <w:rsid w:val="00412307"/>
    <w:rsid w:val="00415DC9"/>
    <w:rsid w:val="004166C0"/>
    <w:rsid w:val="00416C4F"/>
    <w:rsid w:val="00423BB9"/>
    <w:rsid w:val="004248D9"/>
    <w:rsid w:val="0043358A"/>
    <w:rsid w:val="00434871"/>
    <w:rsid w:val="00436E55"/>
    <w:rsid w:val="0044005B"/>
    <w:rsid w:val="004407DC"/>
    <w:rsid w:val="00442F0A"/>
    <w:rsid w:val="0044308F"/>
    <w:rsid w:val="0044570E"/>
    <w:rsid w:val="00446B0E"/>
    <w:rsid w:val="00447590"/>
    <w:rsid w:val="00450711"/>
    <w:rsid w:val="00450714"/>
    <w:rsid w:val="00451182"/>
    <w:rsid w:val="00453091"/>
    <w:rsid w:val="00455686"/>
    <w:rsid w:val="004573B9"/>
    <w:rsid w:val="00457538"/>
    <w:rsid w:val="00461830"/>
    <w:rsid w:val="00461E13"/>
    <w:rsid w:val="00462136"/>
    <w:rsid w:val="004624C8"/>
    <w:rsid w:val="00466D6D"/>
    <w:rsid w:val="00467260"/>
    <w:rsid w:val="00467D73"/>
    <w:rsid w:val="00470415"/>
    <w:rsid w:val="00472A2F"/>
    <w:rsid w:val="00474994"/>
    <w:rsid w:val="00475AEF"/>
    <w:rsid w:val="00475DD6"/>
    <w:rsid w:val="0047795D"/>
    <w:rsid w:val="004779FF"/>
    <w:rsid w:val="00481181"/>
    <w:rsid w:val="0048325C"/>
    <w:rsid w:val="00483D59"/>
    <w:rsid w:val="00484565"/>
    <w:rsid w:val="0048744C"/>
    <w:rsid w:val="00491D1D"/>
    <w:rsid w:val="004937CE"/>
    <w:rsid w:val="00494FFD"/>
    <w:rsid w:val="00495375"/>
    <w:rsid w:val="00495471"/>
    <w:rsid w:val="00495609"/>
    <w:rsid w:val="004958B6"/>
    <w:rsid w:val="00496F2E"/>
    <w:rsid w:val="004A2F94"/>
    <w:rsid w:val="004A6AD4"/>
    <w:rsid w:val="004A7D5C"/>
    <w:rsid w:val="004B2EE4"/>
    <w:rsid w:val="004B2F1A"/>
    <w:rsid w:val="004B3D06"/>
    <w:rsid w:val="004B6072"/>
    <w:rsid w:val="004C0F6F"/>
    <w:rsid w:val="004C2760"/>
    <w:rsid w:val="004C33D4"/>
    <w:rsid w:val="004D04DF"/>
    <w:rsid w:val="004D1BA5"/>
    <w:rsid w:val="004D2EBF"/>
    <w:rsid w:val="004D30E3"/>
    <w:rsid w:val="004D37BD"/>
    <w:rsid w:val="004D5A28"/>
    <w:rsid w:val="004D7D4D"/>
    <w:rsid w:val="004E2883"/>
    <w:rsid w:val="004E346A"/>
    <w:rsid w:val="004E3CB8"/>
    <w:rsid w:val="004E522E"/>
    <w:rsid w:val="004E7226"/>
    <w:rsid w:val="004F112C"/>
    <w:rsid w:val="004F130E"/>
    <w:rsid w:val="004F3C73"/>
    <w:rsid w:val="004F5080"/>
    <w:rsid w:val="004F5D22"/>
    <w:rsid w:val="004F62E7"/>
    <w:rsid w:val="00502EAE"/>
    <w:rsid w:val="0050513E"/>
    <w:rsid w:val="00505308"/>
    <w:rsid w:val="005104FA"/>
    <w:rsid w:val="005110D1"/>
    <w:rsid w:val="005130BF"/>
    <w:rsid w:val="005156A3"/>
    <w:rsid w:val="00516624"/>
    <w:rsid w:val="00520541"/>
    <w:rsid w:val="005238F2"/>
    <w:rsid w:val="00524207"/>
    <w:rsid w:val="00527A40"/>
    <w:rsid w:val="00530513"/>
    <w:rsid w:val="0053370B"/>
    <w:rsid w:val="00534626"/>
    <w:rsid w:val="005357FF"/>
    <w:rsid w:val="005367D3"/>
    <w:rsid w:val="0053789D"/>
    <w:rsid w:val="00540471"/>
    <w:rsid w:val="0054095C"/>
    <w:rsid w:val="005410BA"/>
    <w:rsid w:val="00543000"/>
    <w:rsid w:val="00543618"/>
    <w:rsid w:val="00544682"/>
    <w:rsid w:val="00553785"/>
    <w:rsid w:val="00555113"/>
    <w:rsid w:val="00557A12"/>
    <w:rsid w:val="005636AD"/>
    <w:rsid w:val="00563B1D"/>
    <w:rsid w:val="005656B9"/>
    <w:rsid w:val="005718EF"/>
    <w:rsid w:val="0057210A"/>
    <w:rsid w:val="00574027"/>
    <w:rsid w:val="00576F97"/>
    <w:rsid w:val="005815B4"/>
    <w:rsid w:val="00581F13"/>
    <w:rsid w:val="00583561"/>
    <w:rsid w:val="00583817"/>
    <w:rsid w:val="00584E52"/>
    <w:rsid w:val="0058738B"/>
    <w:rsid w:val="005931CE"/>
    <w:rsid w:val="00597E41"/>
    <w:rsid w:val="005A0407"/>
    <w:rsid w:val="005A1B16"/>
    <w:rsid w:val="005A1D71"/>
    <w:rsid w:val="005A213F"/>
    <w:rsid w:val="005A2D13"/>
    <w:rsid w:val="005A59CF"/>
    <w:rsid w:val="005B033F"/>
    <w:rsid w:val="005B2845"/>
    <w:rsid w:val="005B2B1B"/>
    <w:rsid w:val="005B5468"/>
    <w:rsid w:val="005B7BD0"/>
    <w:rsid w:val="005C1D4B"/>
    <w:rsid w:val="005C560E"/>
    <w:rsid w:val="005C5B3A"/>
    <w:rsid w:val="005C5ED3"/>
    <w:rsid w:val="005D1314"/>
    <w:rsid w:val="005D3181"/>
    <w:rsid w:val="005D36A3"/>
    <w:rsid w:val="005D4036"/>
    <w:rsid w:val="005D55C0"/>
    <w:rsid w:val="005E0D12"/>
    <w:rsid w:val="005E3538"/>
    <w:rsid w:val="005E40F1"/>
    <w:rsid w:val="005E6782"/>
    <w:rsid w:val="005F0D96"/>
    <w:rsid w:val="005F1116"/>
    <w:rsid w:val="005F132A"/>
    <w:rsid w:val="005F19F2"/>
    <w:rsid w:val="005F4550"/>
    <w:rsid w:val="005F4AA2"/>
    <w:rsid w:val="005F52D3"/>
    <w:rsid w:val="005F58EE"/>
    <w:rsid w:val="00601370"/>
    <w:rsid w:val="00602D4E"/>
    <w:rsid w:val="00603157"/>
    <w:rsid w:val="00606AEE"/>
    <w:rsid w:val="00611D5A"/>
    <w:rsid w:val="00615C08"/>
    <w:rsid w:val="0062013C"/>
    <w:rsid w:val="00620D3A"/>
    <w:rsid w:val="0062501D"/>
    <w:rsid w:val="006261D1"/>
    <w:rsid w:val="00626E93"/>
    <w:rsid w:val="006276B2"/>
    <w:rsid w:val="006372AA"/>
    <w:rsid w:val="00637B9F"/>
    <w:rsid w:val="0064062A"/>
    <w:rsid w:val="0064221B"/>
    <w:rsid w:val="00642534"/>
    <w:rsid w:val="006432B6"/>
    <w:rsid w:val="00643BBE"/>
    <w:rsid w:val="006446AB"/>
    <w:rsid w:val="006446EB"/>
    <w:rsid w:val="0065008F"/>
    <w:rsid w:val="00651ECD"/>
    <w:rsid w:val="00653115"/>
    <w:rsid w:val="00653D82"/>
    <w:rsid w:val="00655FD6"/>
    <w:rsid w:val="00660315"/>
    <w:rsid w:val="00660753"/>
    <w:rsid w:val="00663B18"/>
    <w:rsid w:val="00663CDB"/>
    <w:rsid w:val="00665B9A"/>
    <w:rsid w:val="00667743"/>
    <w:rsid w:val="006717F4"/>
    <w:rsid w:val="006726B8"/>
    <w:rsid w:val="00672E35"/>
    <w:rsid w:val="00672E41"/>
    <w:rsid w:val="006740CF"/>
    <w:rsid w:val="00676132"/>
    <w:rsid w:val="006825B3"/>
    <w:rsid w:val="00682718"/>
    <w:rsid w:val="006874F5"/>
    <w:rsid w:val="00690003"/>
    <w:rsid w:val="00690487"/>
    <w:rsid w:val="006921AE"/>
    <w:rsid w:val="00692ABF"/>
    <w:rsid w:val="006948D2"/>
    <w:rsid w:val="00697065"/>
    <w:rsid w:val="00697BE2"/>
    <w:rsid w:val="006A072F"/>
    <w:rsid w:val="006A2FCF"/>
    <w:rsid w:val="006A50B5"/>
    <w:rsid w:val="006A57CC"/>
    <w:rsid w:val="006A6846"/>
    <w:rsid w:val="006B0230"/>
    <w:rsid w:val="006B0EFE"/>
    <w:rsid w:val="006B1766"/>
    <w:rsid w:val="006B1D57"/>
    <w:rsid w:val="006B20CE"/>
    <w:rsid w:val="006B2D29"/>
    <w:rsid w:val="006B40E8"/>
    <w:rsid w:val="006B56C1"/>
    <w:rsid w:val="006C081C"/>
    <w:rsid w:val="006C0DB4"/>
    <w:rsid w:val="006C462D"/>
    <w:rsid w:val="006C6758"/>
    <w:rsid w:val="006C74CA"/>
    <w:rsid w:val="006D10FB"/>
    <w:rsid w:val="006D24ED"/>
    <w:rsid w:val="006D49D6"/>
    <w:rsid w:val="006D53AA"/>
    <w:rsid w:val="006D6058"/>
    <w:rsid w:val="006E0210"/>
    <w:rsid w:val="006E0F1E"/>
    <w:rsid w:val="006E278A"/>
    <w:rsid w:val="006E42E5"/>
    <w:rsid w:val="006E6675"/>
    <w:rsid w:val="006F09D9"/>
    <w:rsid w:val="006F4C00"/>
    <w:rsid w:val="0070222D"/>
    <w:rsid w:val="0070277C"/>
    <w:rsid w:val="00711F78"/>
    <w:rsid w:val="007127CF"/>
    <w:rsid w:val="00713987"/>
    <w:rsid w:val="00714E10"/>
    <w:rsid w:val="007160A2"/>
    <w:rsid w:val="007228B5"/>
    <w:rsid w:val="00722BCF"/>
    <w:rsid w:val="00722C2F"/>
    <w:rsid w:val="00723A75"/>
    <w:rsid w:val="00724A48"/>
    <w:rsid w:val="00725BCC"/>
    <w:rsid w:val="007317EF"/>
    <w:rsid w:val="00732C20"/>
    <w:rsid w:val="007335A4"/>
    <w:rsid w:val="00734011"/>
    <w:rsid w:val="007341C7"/>
    <w:rsid w:val="00743A51"/>
    <w:rsid w:val="00744542"/>
    <w:rsid w:val="007453AD"/>
    <w:rsid w:val="0074541B"/>
    <w:rsid w:val="0074593E"/>
    <w:rsid w:val="00745FF5"/>
    <w:rsid w:val="007515FD"/>
    <w:rsid w:val="00752F31"/>
    <w:rsid w:val="007539B5"/>
    <w:rsid w:val="00753DFC"/>
    <w:rsid w:val="00754107"/>
    <w:rsid w:val="007545F1"/>
    <w:rsid w:val="0075683B"/>
    <w:rsid w:val="00760986"/>
    <w:rsid w:val="00761AEF"/>
    <w:rsid w:val="00761EDA"/>
    <w:rsid w:val="00763115"/>
    <w:rsid w:val="00763EF0"/>
    <w:rsid w:val="007664FE"/>
    <w:rsid w:val="00766F6B"/>
    <w:rsid w:val="00770670"/>
    <w:rsid w:val="00772448"/>
    <w:rsid w:val="00776D49"/>
    <w:rsid w:val="00781815"/>
    <w:rsid w:val="00791E4D"/>
    <w:rsid w:val="0079269C"/>
    <w:rsid w:val="00793CA9"/>
    <w:rsid w:val="00795EEB"/>
    <w:rsid w:val="00796B89"/>
    <w:rsid w:val="007A006C"/>
    <w:rsid w:val="007A1D55"/>
    <w:rsid w:val="007A3803"/>
    <w:rsid w:val="007B235E"/>
    <w:rsid w:val="007B2A94"/>
    <w:rsid w:val="007B39E3"/>
    <w:rsid w:val="007B5080"/>
    <w:rsid w:val="007C0111"/>
    <w:rsid w:val="007C06F3"/>
    <w:rsid w:val="007C0D46"/>
    <w:rsid w:val="007C3BF5"/>
    <w:rsid w:val="007C40C9"/>
    <w:rsid w:val="007C499D"/>
    <w:rsid w:val="007C4AF6"/>
    <w:rsid w:val="007C7536"/>
    <w:rsid w:val="007D208B"/>
    <w:rsid w:val="007D3379"/>
    <w:rsid w:val="007D7AA1"/>
    <w:rsid w:val="007E4376"/>
    <w:rsid w:val="007E74FB"/>
    <w:rsid w:val="007F0DBB"/>
    <w:rsid w:val="007F2468"/>
    <w:rsid w:val="007F4002"/>
    <w:rsid w:val="007F64BE"/>
    <w:rsid w:val="007F6CF5"/>
    <w:rsid w:val="007F7188"/>
    <w:rsid w:val="0080008B"/>
    <w:rsid w:val="0080254E"/>
    <w:rsid w:val="00804C2E"/>
    <w:rsid w:val="00804EB3"/>
    <w:rsid w:val="00806482"/>
    <w:rsid w:val="00812FBE"/>
    <w:rsid w:val="00816DD6"/>
    <w:rsid w:val="00820318"/>
    <w:rsid w:val="00821ACE"/>
    <w:rsid w:val="0082244E"/>
    <w:rsid w:val="008230E3"/>
    <w:rsid w:val="00826160"/>
    <w:rsid w:val="00826DD0"/>
    <w:rsid w:val="008273C4"/>
    <w:rsid w:val="00827B93"/>
    <w:rsid w:val="00827CA7"/>
    <w:rsid w:val="00830DD2"/>
    <w:rsid w:val="00832C39"/>
    <w:rsid w:val="0083588A"/>
    <w:rsid w:val="00841285"/>
    <w:rsid w:val="00841E60"/>
    <w:rsid w:val="00842BA9"/>
    <w:rsid w:val="00843777"/>
    <w:rsid w:val="008441E4"/>
    <w:rsid w:val="00845088"/>
    <w:rsid w:val="008452FD"/>
    <w:rsid w:val="00847291"/>
    <w:rsid w:val="00851581"/>
    <w:rsid w:val="00855445"/>
    <w:rsid w:val="00861E28"/>
    <w:rsid w:val="008632E9"/>
    <w:rsid w:val="008646DE"/>
    <w:rsid w:val="00866533"/>
    <w:rsid w:val="00866DB1"/>
    <w:rsid w:val="008677FD"/>
    <w:rsid w:val="0087247C"/>
    <w:rsid w:val="00876AAB"/>
    <w:rsid w:val="008770BD"/>
    <w:rsid w:val="008810F9"/>
    <w:rsid w:val="00881384"/>
    <w:rsid w:val="0088203D"/>
    <w:rsid w:val="008825DC"/>
    <w:rsid w:val="008829B8"/>
    <w:rsid w:val="008852A2"/>
    <w:rsid w:val="008857B2"/>
    <w:rsid w:val="00886B31"/>
    <w:rsid w:val="0088789A"/>
    <w:rsid w:val="0089380B"/>
    <w:rsid w:val="00896B7A"/>
    <w:rsid w:val="00897446"/>
    <w:rsid w:val="00897861"/>
    <w:rsid w:val="008A0116"/>
    <w:rsid w:val="008A036B"/>
    <w:rsid w:val="008A1C1A"/>
    <w:rsid w:val="008A4C8D"/>
    <w:rsid w:val="008A5D92"/>
    <w:rsid w:val="008B000E"/>
    <w:rsid w:val="008B060B"/>
    <w:rsid w:val="008B2FD6"/>
    <w:rsid w:val="008C0EFC"/>
    <w:rsid w:val="008C27BF"/>
    <w:rsid w:val="008C5FBB"/>
    <w:rsid w:val="008C6C3B"/>
    <w:rsid w:val="008D07B9"/>
    <w:rsid w:val="008D08E4"/>
    <w:rsid w:val="008D4253"/>
    <w:rsid w:val="008D5275"/>
    <w:rsid w:val="008D58EE"/>
    <w:rsid w:val="008D7510"/>
    <w:rsid w:val="008E0AA0"/>
    <w:rsid w:val="008E0EEE"/>
    <w:rsid w:val="008E16CF"/>
    <w:rsid w:val="008E2963"/>
    <w:rsid w:val="008E4080"/>
    <w:rsid w:val="008E4DCD"/>
    <w:rsid w:val="008F3428"/>
    <w:rsid w:val="008F4B50"/>
    <w:rsid w:val="008F5D4E"/>
    <w:rsid w:val="008F6668"/>
    <w:rsid w:val="00900BC5"/>
    <w:rsid w:val="0090282C"/>
    <w:rsid w:val="009045ED"/>
    <w:rsid w:val="009056EE"/>
    <w:rsid w:val="00912078"/>
    <w:rsid w:val="0091289E"/>
    <w:rsid w:val="00913775"/>
    <w:rsid w:val="00917832"/>
    <w:rsid w:val="00921D4E"/>
    <w:rsid w:val="009243DC"/>
    <w:rsid w:val="0092514E"/>
    <w:rsid w:val="0093246F"/>
    <w:rsid w:val="00932B82"/>
    <w:rsid w:val="00933FBD"/>
    <w:rsid w:val="009342AC"/>
    <w:rsid w:val="00936976"/>
    <w:rsid w:val="00941D86"/>
    <w:rsid w:val="00944ADA"/>
    <w:rsid w:val="00947639"/>
    <w:rsid w:val="00951180"/>
    <w:rsid w:val="00951346"/>
    <w:rsid w:val="009527E8"/>
    <w:rsid w:val="00952D42"/>
    <w:rsid w:val="00954EB0"/>
    <w:rsid w:val="009551D9"/>
    <w:rsid w:val="00957B6E"/>
    <w:rsid w:val="00964A59"/>
    <w:rsid w:val="009660EF"/>
    <w:rsid w:val="00971EF5"/>
    <w:rsid w:val="00974B41"/>
    <w:rsid w:val="00975FAB"/>
    <w:rsid w:val="00977834"/>
    <w:rsid w:val="0097786E"/>
    <w:rsid w:val="00977A1E"/>
    <w:rsid w:val="00980007"/>
    <w:rsid w:val="009846E0"/>
    <w:rsid w:val="009851F4"/>
    <w:rsid w:val="009854E1"/>
    <w:rsid w:val="0098687D"/>
    <w:rsid w:val="0099123F"/>
    <w:rsid w:val="00991E27"/>
    <w:rsid w:val="00992CE9"/>
    <w:rsid w:val="00993683"/>
    <w:rsid w:val="009948BE"/>
    <w:rsid w:val="00994959"/>
    <w:rsid w:val="00995ACC"/>
    <w:rsid w:val="00996353"/>
    <w:rsid w:val="009A2727"/>
    <w:rsid w:val="009A589F"/>
    <w:rsid w:val="009A6237"/>
    <w:rsid w:val="009A7C1C"/>
    <w:rsid w:val="009B35C3"/>
    <w:rsid w:val="009B419E"/>
    <w:rsid w:val="009B474F"/>
    <w:rsid w:val="009B4A69"/>
    <w:rsid w:val="009B4C4A"/>
    <w:rsid w:val="009B59F9"/>
    <w:rsid w:val="009B79CE"/>
    <w:rsid w:val="009B7E09"/>
    <w:rsid w:val="009C0662"/>
    <w:rsid w:val="009D0794"/>
    <w:rsid w:val="009D33C8"/>
    <w:rsid w:val="009E2466"/>
    <w:rsid w:val="009E248C"/>
    <w:rsid w:val="009E5669"/>
    <w:rsid w:val="009E57EE"/>
    <w:rsid w:val="009E684F"/>
    <w:rsid w:val="009E69AF"/>
    <w:rsid w:val="009E75FC"/>
    <w:rsid w:val="009E766A"/>
    <w:rsid w:val="009F465F"/>
    <w:rsid w:val="009F5718"/>
    <w:rsid w:val="009F5735"/>
    <w:rsid w:val="009F5871"/>
    <w:rsid w:val="009F657D"/>
    <w:rsid w:val="009F6991"/>
    <w:rsid w:val="00A00AB3"/>
    <w:rsid w:val="00A00CD8"/>
    <w:rsid w:val="00A01431"/>
    <w:rsid w:val="00A01ABC"/>
    <w:rsid w:val="00A04C78"/>
    <w:rsid w:val="00A06E7B"/>
    <w:rsid w:val="00A15296"/>
    <w:rsid w:val="00A1741F"/>
    <w:rsid w:val="00A220AE"/>
    <w:rsid w:val="00A26F7E"/>
    <w:rsid w:val="00A34050"/>
    <w:rsid w:val="00A356CB"/>
    <w:rsid w:val="00A35F08"/>
    <w:rsid w:val="00A44778"/>
    <w:rsid w:val="00A457FD"/>
    <w:rsid w:val="00A505BB"/>
    <w:rsid w:val="00A554B8"/>
    <w:rsid w:val="00A61E78"/>
    <w:rsid w:val="00A63106"/>
    <w:rsid w:val="00A65CDD"/>
    <w:rsid w:val="00A66D45"/>
    <w:rsid w:val="00A67B70"/>
    <w:rsid w:val="00A70C53"/>
    <w:rsid w:val="00A70C85"/>
    <w:rsid w:val="00A70D52"/>
    <w:rsid w:val="00A726F0"/>
    <w:rsid w:val="00A72E53"/>
    <w:rsid w:val="00A73E25"/>
    <w:rsid w:val="00A743D2"/>
    <w:rsid w:val="00A74A26"/>
    <w:rsid w:val="00A74FD2"/>
    <w:rsid w:val="00A76E15"/>
    <w:rsid w:val="00A81B87"/>
    <w:rsid w:val="00A82180"/>
    <w:rsid w:val="00A82E48"/>
    <w:rsid w:val="00A83126"/>
    <w:rsid w:val="00A83803"/>
    <w:rsid w:val="00A83D88"/>
    <w:rsid w:val="00A83E6B"/>
    <w:rsid w:val="00A83FA9"/>
    <w:rsid w:val="00A85BD4"/>
    <w:rsid w:val="00A87007"/>
    <w:rsid w:val="00A91C29"/>
    <w:rsid w:val="00A92BF3"/>
    <w:rsid w:val="00A93189"/>
    <w:rsid w:val="00A9371C"/>
    <w:rsid w:val="00A95259"/>
    <w:rsid w:val="00A95F57"/>
    <w:rsid w:val="00AA0AC7"/>
    <w:rsid w:val="00AA1FDE"/>
    <w:rsid w:val="00AA25AA"/>
    <w:rsid w:val="00AA2C95"/>
    <w:rsid w:val="00AA6032"/>
    <w:rsid w:val="00AA7B6B"/>
    <w:rsid w:val="00AB4A28"/>
    <w:rsid w:val="00AB698F"/>
    <w:rsid w:val="00AB74EB"/>
    <w:rsid w:val="00AC2351"/>
    <w:rsid w:val="00AC2C21"/>
    <w:rsid w:val="00AC5C89"/>
    <w:rsid w:val="00AC69F6"/>
    <w:rsid w:val="00AC79B7"/>
    <w:rsid w:val="00AD13C7"/>
    <w:rsid w:val="00AD202F"/>
    <w:rsid w:val="00AD3B22"/>
    <w:rsid w:val="00AD41DA"/>
    <w:rsid w:val="00AD6711"/>
    <w:rsid w:val="00AD7F2F"/>
    <w:rsid w:val="00AE1BBD"/>
    <w:rsid w:val="00AE1CE5"/>
    <w:rsid w:val="00AE1F26"/>
    <w:rsid w:val="00AE2D95"/>
    <w:rsid w:val="00AE3FB0"/>
    <w:rsid w:val="00AE599E"/>
    <w:rsid w:val="00AF0E34"/>
    <w:rsid w:val="00AF4251"/>
    <w:rsid w:val="00AF5969"/>
    <w:rsid w:val="00AF607B"/>
    <w:rsid w:val="00AF73B7"/>
    <w:rsid w:val="00B02872"/>
    <w:rsid w:val="00B02E4C"/>
    <w:rsid w:val="00B034DA"/>
    <w:rsid w:val="00B03D4A"/>
    <w:rsid w:val="00B03E79"/>
    <w:rsid w:val="00B05D66"/>
    <w:rsid w:val="00B061EF"/>
    <w:rsid w:val="00B07C3C"/>
    <w:rsid w:val="00B10675"/>
    <w:rsid w:val="00B12150"/>
    <w:rsid w:val="00B12A01"/>
    <w:rsid w:val="00B13255"/>
    <w:rsid w:val="00B1607C"/>
    <w:rsid w:val="00B168FD"/>
    <w:rsid w:val="00B1745A"/>
    <w:rsid w:val="00B17BCC"/>
    <w:rsid w:val="00B217EE"/>
    <w:rsid w:val="00B229E4"/>
    <w:rsid w:val="00B247D3"/>
    <w:rsid w:val="00B26143"/>
    <w:rsid w:val="00B261F2"/>
    <w:rsid w:val="00B267E8"/>
    <w:rsid w:val="00B276E4"/>
    <w:rsid w:val="00B3210C"/>
    <w:rsid w:val="00B32AFC"/>
    <w:rsid w:val="00B3579F"/>
    <w:rsid w:val="00B36337"/>
    <w:rsid w:val="00B36629"/>
    <w:rsid w:val="00B37E27"/>
    <w:rsid w:val="00B37F19"/>
    <w:rsid w:val="00B40AA8"/>
    <w:rsid w:val="00B4238B"/>
    <w:rsid w:val="00B461D9"/>
    <w:rsid w:val="00B50AF7"/>
    <w:rsid w:val="00B52B23"/>
    <w:rsid w:val="00B53768"/>
    <w:rsid w:val="00B5448F"/>
    <w:rsid w:val="00B55DCD"/>
    <w:rsid w:val="00B632D0"/>
    <w:rsid w:val="00B66918"/>
    <w:rsid w:val="00B70812"/>
    <w:rsid w:val="00B70A51"/>
    <w:rsid w:val="00B71CF0"/>
    <w:rsid w:val="00B72121"/>
    <w:rsid w:val="00B72FC5"/>
    <w:rsid w:val="00B73AAF"/>
    <w:rsid w:val="00B748B6"/>
    <w:rsid w:val="00B75881"/>
    <w:rsid w:val="00B778DE"/>
    <w:rsid w:val="00B77AA0"/>
    <w:rsid w:val="00B811C3"/>
    <w:rsid w:val="00B818B2"/>
    <w:rsid w:val="00B8476B"/>
    <w:rsid w:val="00B85E88"/>
    <w:rsid w:val="00B91D4F"/>
    <w:rsid w:val="00B9516F"/>
    <w:rsid w:val="00B9613B"/>
    <w:rsid w:val="00B96DAE"/>
    <w:rsid w:val="00BA0BC3"/>
    <w:rsid w:val="00BA0FAA"/>
    <w:rsid w:val="00BA1782"/>
    <w:rsid w:val="00BA1924"/>
    <w:rsid w:val="00BA1FC6"/>
    <w:rsid w:val="00BA5723"/>
    <w:rsid w:val="00BA76CE"/>
    <w:rsid w:val="00BA783C"/>
    <w:rsid w:val="00BB329D"/>
    <w:rsid w:val="00BB36EA"/>
    <w:rsid w:val="00BB378B"/>
    <w:rsid w:val="00BB421C"/>
    <w:rsid w:val="00BC10DC"/>
    <w:rsid w:val="00BC1D5A"/>
    <w:rsid w:val="00BC215A"/>
    <w:rsid w:val="00BC549D"/>
    <w:rsid w:val="00BC6430"/>
    <w:rsid w:val="00BC6EF1"/>
    <w:rsid w:val="00BC7A2D"/>
    <w:rsid w:val="00BD0150"/>
    <w:rsid w:val="00BD1D0D"/>
    <w:rsid w:val="00BD2655"/>
    <w:rsid w:val="00BD3BF3"/>
    <w:rsid w:val="00BD5EAA"/>
    <w:rsid w:val="00BD60DE"/>
    <w:rsid w:val="00BD6229"/>
    <w:rsid w:val="00BE0BAD"/>
    <w:rsid w:val="00BE1F00"/>
    <w:rsid w:val="00BE3C06"/>
    <w:rsid w:val="00BE5A23"/>
    <w:rsid w:val="00BE6D54"/>
    <w:rsid w:val="00BE78C3"/>
    <w:rsid w:val="00BF0BA6"/>
    <w:rsid w:val="00BF14B1"/>
    <w:rsid w:val="00BF2A06"/>
    <w:rsid w:val="00BF3CBF"/>
    <w:rsid w:val="00BF708A"/>
    <w:rsid w:val="00BF7578"/>
    <w:rsid w:val="00C00A2C"/>
    <w:rsid w:val="00C0127F"/>
    <w:rsid w:val="00C01CCC"/>
    <w:rsid w:val="00C01D19"/>
    <w:rsid w:val="00C02D73"/>
    <w:rsid w:val="00C03AE8"/>
    <w:rsid w:val="00C04D46"/>
    <w:rsid w:val="00C07C23"/>
    <w:rsid w:val="00C11C6C"/>
    <w:rsid w:val="00C14CF2"/>
    <w:rsid w:val="00C164DC"/>
    <w:rsid w:val="00C222F0"/>
    <w:rsid w:val="00C227AB"/>
    <w:rsid w:val="00C23C08"/>
    <w:rsid w:val="00C24B36"/>
    <w:rsid w:val="00C24BC5"/>
    <w:rsid w:val="00C26459"/>
    <w:rsid w:val="00C270B7"/>
    <w:rsid w:val="00C33E64"/>
    <w:rsid w:val="00C348EB"/>
    <w:rsid w:val="00C40309"/>
    <w:rsid w:val="00C4214D"/>
    <w:rsid w:val="00C4452E"/>
    <w:rsid w:val="00C44556"/>
    <w:rsid w:val="00C45AF5"/>
    <w:rsid w:val="00C4682D"/>
    <w:rsid w:val="00C54FD5"/>
    <w:rsid w:val="00C5702A"/>
    <w:rsid w:val="00C57503"/>
    <w:rsid w:val="00C6027A"/>
    <w:rsid w:val="00C617B8"/>
    <w:rsid w:val="00C6271C"/>
    <w:rsid w:val="00C6355D"/>
    <w:rsid w:val="00C7063E"/>
    <w:rsid w:val="00C7137B"/>
    <w:rsid w:val="00C73627"/>
    <w:rsid w:val="00C74B0B"/>
    <w:rsid w:val="00C810E8"/>
    <w:rsid w:val="00C8529E"/>
    <w:rsid w:val="00C87C63"/>
    <w:rsid w:val="00C90012"/>
    <w:rsid w:val="00C93E51"/>
    <w:rsid w:val="00C93EE8"/>
    <w:rsid w:val="00C9440F"/>
    <w:rsid w:val="00C959F9"/>
    <w:rsid w:val="00C96A6F"/>
    <w:rsid w:val="00CA0A79"/>
    <w:rsid w:val="00CA20B9"/>
    <w:rsid w:val="00CA2C3D"/>
    <w:rsid w:val="00CA3E5B"/>
    <w:rsid w:val="00CA486A"/>
    <w:rsid w:val="00CA5B13"/>
    <w:rsid w:val="00CA7D49"/>
    <w:rsid w:val="00CB1255"/>
    <w:rsid w:val="00CB14A7"/>
    <w:rsid w:val="00CB1B3D"/>
    <w:rsid w:val="00CB3C6B"/>
    <w:rsid w:val="00CB4A6A"/>
    <w:rsid w:val="00CB77E3"/>
    <w:rsid w:val="00CB7900"/>
    <w:rsid w:val="00CC05E8"/>
    <w:rsid w:val="00CC0CF3"/>
    <w:rsid w:val="00CC20AA"/>
    <w:rsid w:val="00CC2E39"/>
    <w:rsid w:val="00CC396F"/>
    <w:rsid w:val="00CC60E3"/>
    <w:rsid w:val="00CC650C"/>
    <w:rsid w:val="00CD31DC"/>
    <w:rsid w:val="00CD6162"/>
    <w:rsid w:val="00CD709C"/>
    <w:rsid w:val="00CD7D70"/>
    <w:rsid w:val="00CE1745"/>
    <w:rsid w:val="00CE33DB"/>
    <w:rsid w:val="00CE36C8"/>
    <w:rsid w:val="00CE445F"/>
    <w:rsid w:val="00CF04A3"/>
    <w:rsid w:val="00CF0CB1"/>
    <w:rsid w:val="00CF1110"/>
    <w:rsid w:val="00CF1767"/>
    <w:rsid w:val="00CF2674"/>
    <w:rsid w:val="00CF51AF"/>
    <w:rsid w:val="00CF6AC5"/>
    <w:rsid w:val="00CF6B7C"/>
    <w:rsid w:val="00CF6F2E"/>
    <w:rsid w:val="00CF784F"/>
    <w:rsid w:val="00D07956"/>
    <w:rsid w:val="00D11EDA"/>
    <w:rsid w:val="00D15F6F"/>
    <w:rsid w:val="00D166FF"/>
    <w:rsid w:val="00D1684B"/>
    <w:rsid w:val="00D16E26"/>
    <w:rsid w:val="00D17391"/>
    <w:rsid w:val="00D179F2"/>
    <w:rsid w:val="00D206D7"/>
    <w:rsid w:val="00D21328"/>
    <w:rsid w:val="00D245EC"/>
    <w:rsid w:val="00D2796C"/>
    <w:rsid w:val="00D27E61"/>
    <w:rsid w:val="00D310F0"/>
    <w:rsid w:val="00D31516"/>
    <w:rsid w:val="00D3202D"/>
    <w:rsid w:val="00D3249E"/>
    <w:rsid w:val="00D32D1F"/>
    <w:rsid w:val="00D34883"/>
    <w:rsid w:val="00D3609A"/>
    <w:rsid w:val="00D36979"/>
    <w:rsid w:val="00D41A6A"/>
    <w:rsid w:val="00D41F82"/>
    <w:rsid w:val="00D439B6"/>
    <w:rsid w:val="00D43DCC"/>
    <w:rsid w:val="00D458ED"/>
    <w:rsid w:val="00D46BE9"/>
    <w:rsid w:val="00D52262"/>
    <w:rsid w:val="00D5307F"/>
    <w:rsid w:val="00D57355"/>
    <w:rsid w:val="00D600EC"/>
    <w:rsid w:val="00D60A72"/>
    <w:rsid w:val="00D623A1"/>
    <w:rsid w:val="00D6335A"/>
    <w:rsid w:val="00D633C3"/>
    <w:rsid w:val="00D643A7"/>
    <w:rsid w:val="00D64698"/>
    <w:rsid w:val="00D66159"/>
    <w:rsid w:val="00D70F16"/>
    <w:rsid w:val="00D72F70"/>
    <w:rsid w:val="00D7536E"/>
    <w:rsid w:val="00D767E6"/>
    <w:rsid w:val="00D76F33"/>
    <w:rsid w:val="00D770FC"/>
    <w:rsid w:val="00D7719E"/>
    <w:rsid w:val="00D77A1F"/>
    <w:rsid w:val="00D801CB"/>
    <w:rsid w:val="00D818D6"/>
    <w:rsid w:val="00D82155"/>
    <w:rsid w:val="00D83289"/>
    <w:rsid w:val="00D8354D"/>
    <w:rsid w:val="00D87B33"/>
    <w:rsid w:val="00D913CB"/>
    <w:rsid w:val="00D92475"/>
    <w:rsid w:val="00D92EAB"/>
    <w:rsid w:val="00D93EE3"/>
    <w:rsid w:val="00D947DA"/>
    <w:rsid w:val="00D95595"/>
    <w:rsid w:val="00D96EB4"/>
    <w:rsid w:val="00DA2E4C"/>
    <w:rsid w:val="00DA34EB"/>
    <w:rsid w:val="00DA3588"/>
    <w:rsid w:val="00DA3ECD"/>
    <w:rsid w:val="00DA41CE"/>
    <w:rsid w:val="00DA4782"/>
    <w:rsid w:val="00DA6167"/>
    <w:rsid w:val="00DA693C"/>
    <w:rsid w:val="00DB007E"/>
    <w:rsid w:val="00DB155D"/>
    <w:rsid w:val="00DB43FF"/>
    <w:rsid w:val="00DB6526"/>
    <w:rsid w:val="00DB781A"/>
    <w:rsid w:val="00DC094C"/>
    <w:rsid w:val="00DC172C"/>
    <w:rsid w:val="00DC6D43"/>
    <w:rsid w:val="00DC6FEA"/>
    <w:rsid w:val="00DD4A81"/>
    <w:rsid w:val="00DD4B63"/>
    <w:rsid w:val="00DD6677"/>
    <w:rsid w:val="00DD78FF"/>
    <w:rsid w:val="00DE1191"/>
    <w:rsid w:val="00DE1488"/>
    <w:rsid w:val="00DE4490"/>
    <w:rsid w:val="00DE526B"/>
    <w:rsid w:val="00DF289C"/>
    <w:rsid w:val="00DF2DD4"/>
    <w:rsid w:val="00E00126"/>
    <w:rsid w:val="00E00532"/>
    <w:rsid w:val="00E0202C"/>
    <w:rsid w:val="00E045DC"/>
    <w:rsid w:val="00E04C6F"/>
    <w:rsid w:val="00E06A37"/>
    <w:rsid w:val="00E13C9D"/>
    <w:rsid w:val="00E13D3C"/>
    <w:rsid w:val="00E14F26"/>
    <w:rsid w:val="00E15BDB"/>
    <w:rsid w:val="00E16354"/>
    <w:rsid w:val="00E16714"/>
    <w:rsid w:val="00E201D3"/>
    <w:rsid w:val="00E20931"/>
    <w:rsid w:val="00E20CF8"/>
    <w:rsid w:val="00E2317A"/>
    <w:rsid w:val="00E23EE7"/>
    <w:rsid w:val="00E24878"/>
    <w:rsid w:val="00E24D41"/>
    <w:rsid w:val="00E313CF"/>
    <w:rsid w:val="00E36B4F"/>
    <w:rsid w:val="00E40763"/>
    <w:rsid w:val="00E46300"/>
    <w:rsid w:val="00E5017A"/>
    <w:rsid w:val="00E501CB"/>
    <w:rsid w:val="00E51360"/>
    <w:rsid w:val="00E5272A"/>
    <w:rsid w:val="00E53C0B"/>
    <w:rsid w:val="00E55E7A"/>
    <w:rsid w:val="00E5614F"/>
    <w:rsid w:val="00E56B12"/>
    <w:rsid w:val="00E57359"/>
    <w:rsid w:val="00E6053D"/>
    <w:rsid w:val="00E60932"/>
    <w:rsid w:val="00E61348"/>
    <w:rsid w:val="00E63574"/>
    <w:rsid w:val="00E63CB5"/>
    <w:rsid w:val="00E64CD3"/>
    <w:rsid w:val="00E67AE5"/>
    <w:rsid w:val="00E71CA5"/>
    <w:rsid w:val="00E71CD8"/>
    <w:rsid w:val="00E72830"/>
    <w:rsid w:val="00E73258"/>
    <w:rsid w:val="00E77D89"/>
    <w:rsid w:val="00E80222"/>
    <w:rsid w:val="00E81B0F"/>
    <w:rsid w:val="00E832E2"/>
    <w:rsid w:val="00E847A2"/>
    <w:rsid w:val="00E85AB3"/>
    <w:rsid w:val="00E908C4"/>
    <w:rsid w:val="00E91E6C"/>
    <w:rsid w:val="00E94B1B"/>
    <w:rsid w:val="00E94FF7"/>
    <w:rsid w:val="00E96C84"/>
    <w:rsid w:val="00EA1CCD"/>
    <w:rsid w:val="00EA22FD"/>
    <w:rsid w:val="00EA2C16"/>
    <w:rsid w:val="00EB01DA"/>
    <w:rsid w:val="00EB2FAC"/>
    <w:rsid w:val="00EB52E7"/>
    <w:rsid w:val="00EB7757"/>
    <w:rsid w:val="00EC35E7"/>
    <w:rsid w:val="00EC4AA9"/>
    <w:rsid w:val="00EC7B67"/>
    <w:rsid w:val="00ED396F"/>
    <w:rsid w:val="00EE1B99"/>
    <w:rsid w:val="00EE310E"/>
    <w:rsid w:val="00EE693C"/>
    <w:rsid w:val="00EF0463"/>
    <w:rsid w:val="00EF262C"/>
    <w:rsid w:val="00EF4F1D"/>
    <w:rsid w:val="00EF64BD"/>
    <w:rsid w:val="00EF677D"/>
    <w:rsid w:val="00F01A0A"/>
    <w:rsid w:val="00F01E76"/>
    <w:rsid w:val="00F03C67"/>
    <w:rsid w:val="00F069AC"/>
    <w:rsid w:val="00F0710F"/>
    <w:rsid w:val="00F10227"/>
    <w:rsid w:val="00F10642"/>
    <w:rsid w:val="00F10FEB"/>
    <w:rsid w:val="00F125DE"/>
    <w:rsid w:val="00F148CE"/>
    <w:rsid w:val="00F14F11"/>
    <w:rsid w:val="00F159A2"/>
    <w:rsid w:val="00F16166"/>
    <w:rsid w:val="00F170ED"/>
    <w:rsid w:val="00F17108"/>
    <w:rsid w:val="00F2099D"/>
    <w:rsid w:val="00F22B0A"/>
    <w:rsid w:val="00F2323D"/>
    <w:rsid w:val="00F25611"/>
    <w:rsid w:val="00F26401"/>
    <w:rsid w:val="00F26724"/>
    <w:rsid w:val="00F3003F"/>
    <w:rsid w:val="00F303D7"/>
    <w:rsid w:val="00F370D8"/>
    <w:rsid w:val="00F41E84"/>
    <w:rsid w:val="00F42552"/>
    <w:rsid w:val="00F42D90"/>
    <w:rsid w:val="00F431E5"/>
    <w:rsid w:val="00F46F7D"/>
    <w:rsid w:val="00F47282"/>
    <w:rsid w:val="00F50D43"/>
    <w:rsid w:val="00F50F4F"/>
    <w:rsid w:val="00F51E10"/>
    <w:rsid w:val="00F52A13"/>
    <w:rsid w:val="00F52E65"/>
    <w:rsid w:val="00F537FC"/>
    <w:rsid w:val="00F53A39"/>
    <w:rsid w:val="00F54FB2"/>
    <w:rsid w:val="00F62F40"/>
    <w:rsid w:val="00F724C9"/>
    <w:rsid w:val="00F73B74"/>
    <w:rsid w:val="00F75C6E"/>
    <w:rsid w:val="00F76771"/>
    <w:rsid w:val="00F83D46"/>
    <w:rsid w:val="00F844B0"/>
    <w:rsid w:val="00F90EC1"/>
    <w:rsid w:val="00F91C0C"/>
    <w:rsid w:val="00F929DA"/>
    <w:rsid w:val="00F95F82"/>
    <w:rsid w:val="00FA0D66"/>
    <w:rsid w:val="00FA3E1C"/>
    <w:rsid w:val="00FA3EDF"/>
    <w:rsid w:val="00FA49C2"/>
    <w:rsid w:val="00FA53AD"/>
    <w:rsid w:val="00FA636A"/>
    <w:rsid w:val="00FB07F3"/>
    <w:rsid w:val="00FB09B6"/>
    <w:rsid w:val="00FB237E"/>
    <w:rsid w:val="00FB37BC"/>
    <w:rsid w:val="00FB54B8"/>
    <w:rsid w:val="00FB5DCC"/>
    <w:rsid w:val="00FB79C5"/>
    <w:rsid w:val="00FC097A"/>
    <w:rsid w:val="00FC332F"/>
    <w:rsid w:val="00FC4E36"/>
    <w:rsid w:val="00FC65D8"/>
    <w:rsid w:val="00FD0350"/>
    <w:rsid w:val="00FD15A3"/>
    <w:rsid w:val="00FD1EF4"/>
    <w:rsid w:val="00FD2113"/>
    <w:rsid w:val="00FD600C"/>
    <w:rsid w:val="00FD7188"/>
    <w:rsid w:val="00FE08A6"/>
    <w:rsid w:val="00FE2BDA"/>
    <w:rsid w:val="00FE369E"/>
    <w:rsid w:val="00FE3BE5"/>
    <w:rsid w:val="00FE403B"/>
    <w:rsid w:val="00FE6AB4"/>
    <w:rsid w:val="00FF0F87"/>
    <w:rsid w:val="00FF1571"/>
    <w:rsid w:val="00FF29F0"/>
    <w:rsid w:val="00FF68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9F6E"/>
  <w15:docId w15:val="{EFED3CD4-6085-43FF-A039-772943C4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65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F65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F65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F65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D90"/>
    <w:pPr>
      <w:ind w:left="720"/>
      <w:contextualSpacing/>
    </w:pPr>
  </w:style>
  <w:style w:type="character" w:customStyle="1" w:styleId="Titre1Car">
    <w:name w:val="Titre 1 Car"/>
    <w:basedOn w:val="Policepardfaut"/>
    <w:link w:val="Titre1"/>
    <w:rsid w:val="009F657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F657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9F657D"/>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F657D"/>
    <w:rPr>
      <w:rFonts w:asciiTheme="majorHAnsi" w:eastAsiaTheme="majorEastAsia" w:hAnsiTheme="majorHAnsi" w:cstheme="majorBidi"/>
      <w:i/>
      <w:iCs/>
      <w:color w:val="2E74B5" w:themeColor="accent1" w:themeShade="BF"/>
    </w:rPr>
  </w:style>
  <w:style w:type="paragraph" w:styleId="Liste">
    <w:name w:val="List"/>
    <w:basedOn w:val="Normal"/>
    <w:uiPriority w:val="99"/>
    <w:unhideWhenUsed/>
    <w:rsid w:val="009F657D"/>
    <w:pPr>
      <w:ind w:left="283" w:hanging="283"/>
      <w:contextualSpacing/>
    </w:pPr>
  </w:style>
  <w:style w:type="paragraph" w:styleId="Liste2">
    <w:name w:val="List 2"/>
    <w:basedOn w:val="Normal"/>
    <w:uiPriority w:val="99"/>
    <w:unhideWhenUsed/>
    <w:rsid w:val="009F657D"/>
    <w:pPr>
      <w:ind w:left="566" w:hanging="283"/>
      <w:contextualSpacing/>
    </w:pPr>
  </w:style>
  <w:style w:type="paragraph" w:styleId="Liste3">
    <w:name w:val="List 3"/>
    <w:basedOn w:val="Normal"/>
    <w:uiPriority w:val="99"/>
    <w:unhideWhenUsed/>
    <w:rsid w:val="009F657D"/>
    <w:pPr>
      <w:ind w:left="849" w:hanging="283"/>
      <w:contextualSpacing/>
    </w:pPr>
  </w:style>
  <w:style w:type="paragraph" w:styleId="Listepuces2">
    <w:name w:val="List Bullet 2"/>
    <w:basedOn w:val="Normal"/>
    <w:uiPriority w:val="99"/>
    <w:unhideWhenUsed/>
    <w:rsid w:val="009F657D"/>
    <w:pPr>
      <w:numPr>
        <w:numId w:val="10"/>
      </w:numPr>
      <w:contextualSpacing/>
    </w:pPr>
  </w:style>
  <w:style w:type="paragraph" w:styleId="Corpsdetexte">
    <w:name w:val="Body Text"/>
    <w:basedOn w:val="Normal"/>
    <w:link w:val="CorpsdetexteCar"/>
    <w:uiPriority w:val="99"/>
    <w:unhideWhenUsed/>
    <w:rsid w:val="009F657D"/>
    <w:pPr>
      <w:spacing w:after="120"/>
    </w:pPr>
  </w:style>
  <w:style w:type="character" w:customStyle="1" w:styleId="CorpsdetexteCar">
    <w:name w:val="Corps de texte Car"/>
    <w:basedOn w:val="Policepardfaut"/>
    <w:link w:val="Corpsdetexte"/>
    <w:uiPriority w:val="99"/>
    <w:rsid w:val="009F657D"/>
  </w:style>
  <w:style w:type="paragraph" w:styleId="En-tte">
    <w:name w:val="header"/>
    <w:basedOn w:val="Normal"/>
    <w:link w:val="En-tteCar"/>
    <w:uiPriority w:val="99"/>
    <w:unhideWhenUsed/>
    <w:rsid w:val="00993683"/>
    <w:pPr>
      <w:tabs>
        <w:tab w:val="center" w:pos="4536"/>
        <w:tab w:val="right" w:pos="9072"/>
      </w:tabs>
      <w:spacing w:after="0" w:line="240" w:lineRule="auto"/>
    </w:pPr>
  </w:style>
  <w:style w:type="character" w:customStyle="1" w:styleId="En-tteCar">
    <w:name w:val="En-tête Car"/>
    <w:basedOn w:val="Policepardfaut"/>
    <w:link w:val="En-tte"/>
    <w:uiPriority w:val="99"/>
    <w:rsid w:val="00993683"/>
  </w:style>
  <w:style w:type="paragraph" w:styleId="Pieddepage">
    <w:name w:val="footer"/>
    <w:basedOn w:val="Normal"/>
    <w:link w:val="PieddepageCar"/>
    <w:uiPriority w:val="99"/>
    <w:unhideWhenUsed/>
    <w:rsid w:val="009936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3683"/>
  </w:style>
  <w:style w:type="paragraph" w:styleId="Textedebulles">
    <w:name w:val="Balloon Text"/>
    <w:basedOn w:val="Normal"/>
    <w:link w:val="TextedebullesCar"/>
    <w:uiPriority w:val="99"/>
    <w:semiHidden/>
    <w:unhideWhenUsed/>
    <w:rsid w:val="005B284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B2845"/>
    <w:rPr>
      <w:rFonts w:ascii="Segoe UI" w:hAnsi="Segoe UI" w:cs="Segoe UI"/>
      <w:sz w:val="18"/>
      <w:szCs w:val="18"/>
    </w:rPr>
  </w:style>
  <w:style w:type="character" w:styleId="Marquedecommentaire">
    <w:name w:val="annotation reference"/>
    <w:basedOn w:val="Policepardfaut"/>
    <w:uiPriority w:val="99"/>
    <w:unhideWhenUsed/>
    <w:rsid w:val="005B2845"/>
    <w:rPr>
      <w:sz w:val="16"/>
      <w:szCs w:val="16"/>
    </w:rPr>
  </w:style>
  <w:style w:type="paragraph" w:styleId="Commentaire">
    <w:name w:val="annotation text"/>
    <w:basedOn w:val="Normal"/>
    <w:link w:val="CommentaireCar"/>
    <w:uiPriority w:val="99"/>
    <w:unhideWhenUsed/>
    <w:rsid w:val="005B2845"/>
    <w:pPr>
      <w:spacing w:line="240" w:lineRule="auto"/>
    </w:pPr>
    <w:rPr>
      <w:sz w:val="20"/>
      <w:szCs w:val="20"/>
    </w:rPr>
  </w:style>
  <w:style w:type="character" w:customStyle="1" w:styleId="CommentaireCar">
    <w:name w:val="Commentaire Car"/>
    <w:basedOn w:val="Policepardfaut"/>
    <w:link w:val="Commentaire"/>
    <w:uiPriority w:val="99"/>
    <w:rsid w:val="005B2845"/>
    <w:rPr>
      <w:sz w:val="20"/>
      <w:szCs w:val="20"/>
    </w:rPr>
  </w:style>
  <w:style w:type="paragraph" w:styleId="Objetducommentaire">
    <w:name w:val="annotation subject"/>
    <w:basedOn w:val="Commentaire"/>
    <w:next w:val="Commentaire"/>
    <w:link w:val="ObjetducommentaireCar"/>
    <w:uiPriority w:val="99"/>
    <w:semiHidden/>
    <w:unhideWhenUsed/>
    <w:rsid w:val="005B2845"/>
    <w:rPr>
      <w:b/>
      <w:bCs/>
    </w:rPr>
  </w:style>
  <w:style w:type="character" w:customStyle="1" w:styleId="ObjetducommentaireCar">
    <w:name w:val="Objet du commentaire Car"/>
    <w:basedOn w:val="CommentaireCar"/>
    <w:link w:val="Objetducommentaire"/>
    <w:uiPriority w:val="99"/>
    <w:semiHidden/>
    <w:rsid w:val="005B2845"/>
    <w:rPr>
      <w:b/>
      <w:bCs/>
      <w:sz w:val="20"/>
      <w:szCs w:val="20"/>
    </w:rPr>
  </w:style>
  <w:style w:type="table" w:styleId="Grilledutableau">
    <w:name w:val="Table Grid"/>
    <w:basedOn w:val="TableauNormal"/>
    <w:uiPriority w:val="39"/>
    <w:rsid w:val="00F9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BA0BC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A0BC3"/>
    <w:rPr>
      <w:sz w:val="20"/>
      <w:szCs w:val="20"/>
    </w:rPr>
  </w:style>
  <w:style w:type="character" w:styleId="Appelnotedebasdep">
    <w:name w:val="footnote reference"/>
    <w:basedOn w:val="Policepardfaut"/>
    <w:uiPriority w:val="99"/>
    <w:semiHidden/>
    <w:unhideWhenUsed/>
    <w:rsid w:val="00BA0BC3"/>
    <w:rPr>
      <w:vertAlign w:val="superscript"/>
    </w:rPr>
  </w:style>
  <w:style w:type="paragraph" w:styleId="Rvision">
    <w:name w:val="Revision"/>
    <w:hidden/>
    <w:uiPriority w:val="99"/>
    <w:semiHidden/>
    <w:rsid w:val="002E01FD"/>
    <w:pPr>
      <w:spacing w:after="0" w:line="240" w:lineRule="auto"/>
    </w:pPr>
  </w:style>
  <w:style w:type="character" w:styleId="Lienhypertexte">
    <w:name w:val="Hyperlink"/>
    <w:basedOn w:val="Policepardfaut"/>
    <w:uiPriority w:val="99"/>
    <w:unhideWhenUsed/>
    <w:rsid w:val="00974B41"/>
    <w:rPr>
      <w:color w:val="0563C1" w:themeColor="hyperlink"/>
      <w:u w:val="single"/>
    </w:rPr>
  </w:style>
  <w:style w:type="character" w:styleId="Mentionnonrsolue">
    <w:name w:val="Unresolved Mention"/>
    <w:basedOn w:val="Policepardfaut"/>
    <w:uiPriority w:val="99"/>
    <w:semiHidden/>
    <w:unhideWhenUsed/>
    <w:rsid w:val="00974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562779">
      <w:bodyDiv w:val="1"/>
      <w:marLeft w:val="0"/>
      <w:marRight w:val="0"/>
      <w:marTop w:val="0"/>
      <w:marBottom w:val="0"/>
      <w:divBdr>
        <w:top w:val="none" w:sz="0" w:space="0" w:color="auto"/>
        <w:left w:val="none" w:sz="0" w:space="0" w:color="auto"/>
        <w:bottom w:val="none" w:sz="0" w:space="0" w:color="auto"/>
        <w:right w:val="none" w:sz="0" w:space="0" w:color="auto"/>
      </w:divBdr>
    </w:div>
    <w:div w:id="1147822321">
      <w:bodyDiv w:val="1"/>
      <w:marLeft w:val="0"/>
      <w:marRight w:val="0"/>
      <w:marTop w:val="0"/>
      <w:marBottom w:val="0"/>
      <w:divBdr>
        <w:top w:val="none" w:sz="0" w:space="0" w:color="auto"/>
        <w:left w:val="none" w:sz="0" w:space="0" w:color="auto"/>
        <w:bottom w:val="none" w:sz="0" w:space="0" w:color="auto"/>
        <w:right w:val="none" w:sz="0" w:space="0" w:color="auto"/>
      </w:divBdr>
    </w:div>
    <w:div w:id="1699238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0C1A8-6E16-41E9-AA29-0CE9C4E01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9</Pages>
  <Words>3191</Words>
  <Characters>17553</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4813</cp:lastModifiedBy>
  <cp:revision>120</cp:revision>
  <cp:lastPrinted>2022-04-26T10:22:00Z</cp:lastPrinted>
  <dcterms:created xsi:type="dcterms:W3CDTF">2023-03-21T07:40:00Z</dcterms:created>
  <dcterms:modified xsi:type="dcterms:W3CDTF">2023-07-03T03:17:00Z</dcterms:modified>
</cp:coreProperties>
</file>