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56" w:type="dxa"/>
        <w:tblLayout w:type="fixed"/>
        <w:tblCellMar>
          <w:left w:w="70" w:type="dxa"/>
          <w:right w:w="70" w:type="dxa"/>
        </w:tblCellMar>
        <w:tblLook w:val="0000" w:firstRow="0" w:lastRow="0" w:firstColumn="0" w:lastColumn="0" w:noHBand="0" w:noVBand="0"/>
      </w:tblPr>
      <w:tblGrid>
        <w:gridCol w:w="5529"/>
        <w:gridCol w:w="4678"/>
      </w:tblGrid>
      <w:tr w:rsidR="0090282C" w:rsidRPr="00E55E7A" w14:paraId="7FD58753" w14:textId="77777777" w:rsidTr="004F62E7">
        <w:tc>
          <w:tcPr>
            <w:tcW w:w="5529" w:type="dxa"/>
          </w:tcPr>
          <w:p w14:paraId="4C20D5A6" w14:textId="77777777" w:rsidR="0090282C" w:rsidRPr="00E55E7A" w:rsidRDefault="0090282C" w:rsidP="008825DC">
            <w:pPr>
              <w:keepNext/>
              <w:tabs>
                <w:tab w:val="left" w:pos="4110"/>
              </w:tabs>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AUTORITE DE REGULATION DE LA COMMANDE PUBLIQUE</w:t>
            </w:r>
          </w:p>
        </w:tc>
        <w:tc>
          <w:tcPr>
            <w:tcW w:w="4678" w:type="dxa"/>
          </w:tcPr>
          <w:p w14:paraId="5152BDE8" w14:textId="77777777" w:rsidR="0090282C" w:rsidRPr="00E55E7A" w:rsidRDefault="0090282C"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
                <w:iCs/>
                <w:sz w:val="24"/>
                <w:szCs w:val="24"/>
              </w:rPr>
              <w:t xml:space="preserve">     BURKINA FASO</w:t>
            </w:r>
          </w:p>
          <w:p w14:paraId="0CEF1AB1" w14:textId="77777777" w:rsidR="000730D6" w:rsidRPr="00E55E7A" w:rsidRDefault="000730D6" w:rsidP="008825DC">
            <w:pPr>
              <w:spacing w:after="0" w:line="240" w:lineRule="auto"/>
              <w:jc w:val="center"/>
              <w:rPr>
                <w:rFonts w:ascii="Rockwell" w:eastAsia="Times New Roman" w:hAnsi="Rockwell" w:cs="Times New Roman"/>
                <w:b/>
                <w:bCs/>
                <w:sz w:val="24"/>
                <w:szCs w:val="24"/>
              </w:rPr>
            </w:pPr>
            <w:r w:rsidRPr="00E55E7A">
              <w:rPr>
                <w:rFonts w:ascii="Rockwell" w:eastAsia="Times New Roman" w:hAnsi="Rockwell" w:cs="Times New Roman"/>
                <w:b/>
                <w:bCs/>
                <w:sz w:val="24"/>
                <w:szCs w:val="24"/>
              </w:rPr>
              <w:t>--------------------</w:t>
            </w:r>
          </w:p>
          <w:p w14:paraId="22B11DEB" w14:textId="577B6968" w:rsidR="000730D6" w:rsidRPr="00E55E7A" w:rsidRDefault="000730D6"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Cs/>
                <w:sz w:val="24"/>
                <w:szCs w:val="24"/>
              </w:rPr>
              <w:t xml:space="preserve">      Unité – Progrès – Justice</w:t>
            </w:r>
          </w:p>
        </w:tc>
      </w:tr>
      <w:tr w:rsidR="0090282C" w:rsidRPr="00E55E7A" w14:paraId="5C03E4B8" w14:textId="77777777" w:rsidTr="004F62E7">
        <w:trPr>
          <w:trHeight w:val="680"/>
        </w:trPr>
        <w:tc>
          <w:tcPr>
            <w:tcW w:w="5529" w:type="dxa"/>
          </w:tcPr>
          <w:p w14:paraId="3DB57BE1"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iCs/>
                <w:sz w:val="24"/>
                <w:szCs w:val="24"/>
              </w:rPr>
              <w:t>--------------------</w:t>
            </w:r>
          </w:p>
          <w:p w14:paraId="765E42F9" w14:textId="77777777" w:rsidR="0090282C" w:rsidRPr="00E55E7A" w:rsidRDefault="0090282C" w:rsidP="008825DC">
            <w:pPr>
              <w:keepNext/>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SECRETARIAT PERMANENT</w:t>
            </w:r>
          </w:p>
        </w:tc>
        <w:tc>
          <w:tcPr>
            <w:tcW w:w="4678" w:type="dxa"/>
          </w:tcPr>
          <w:p w14:paraId="36BBC1BB" w14:textId="613698B1" w:rsidR="0090282C" w:rsidRPr="00E55E7A" w:rsidRDefault="0090282C" w:rsidP="008825DC">
            <w:pPr>
              <w:keepNext/>
              <w:spacing w:after="0" w:line="240" w:lineRule="auto"/>
              <w:jc w:val="center"/>
              <w:outlineLvl w:val="2"/>
              <w:rPr>
                <w:rFonts w:ascii="Rockwell" w:eastAsia="Times New Roman" w:hAnsi="Rockwell" w:cs="Times New Roman"/>
                <w:bCs/>
                <w:sz w:val="24"/>
                <w:szCs w:val="24"/>
              </w:rPr>
            </w:pPr>
          </w:p>
        </w:tc>
      </w:tr>
      <w:tr w:rsidR="0090282C" w:rsidRPr="00E55E7A" w14:paraId="165B48E7" w14:textId="77777777" w:rsidTr="004F62E7">
        <w:trPr>
          <w:gridAfter w:val="1"/>
          <w:wAfter w:w="4678" w:type="dxa"/>
        </w:trPr>
        <w:tc>
          <w:tcPr>
            <w:tcW w:w="5529" w:type="dxa"/>
          </w:tcPr>
          <w:p w14:paraId="1C6A531E"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w:t>
            </w:r>
          </w:p>
          <w:p w14:paraId="36036B6F" w14:textId="1BCF5F8C"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DIRECTION DE LA </w:t>
            </w:r>
            <w:r w:rsidR="00941D86" w:rsidRPr="00E55E7A">
              <w:rPr>
                <w:rFonts w:ascii="Rockwell" w:eastAsia="Times New Roman" w:hAnsi="Rockwell" w:cs="Times New Roman"/>
                <w:b/>
                <w:sz w:val="24"/>
                <w:szCs w:val="24"/>
              </w:rPr>
              <w:t>REGLEMENTATION</w:t>
            </w:r>
          </w:p>
          <w:p w14:paraId="3C3D4A61" w14:textId="5868F1EB" w:rsidR="0090282C" w:rsidRPr="00E55E7A" w:rsidRDefault="00941D86"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DES STATISTIQUES </w:t>
            </w:r>
            <w:r w:rsidR="0090282C" w:rsidRPr="00E55E7A">
              <w:rPr>
                <w:rFonts w:ascii="Rockwell" w:eastAsia="Times New Roman" w:hAnsi="Rockwell" w:cs="Times New Roman"/>
                <w:b/>
                <w:sz w:val="24"/>
                <w:szCs w:val="24"/>
              </w:rPr>
              <w:t>ET DU SUIVI - EVALUATION</w:t>
            </w:r>
          </w:p>
        </w:tc>
      </w:tr>
    </w:tbl>
    <w:p w14:paraId="47087B57" w14:textId="77777777" w:rsidR="0090282C" w:rsidRPr="00E55E7A" w:rsidRDefault="0090282C" w:rsidP="00E00126">
      <w:pPr>
        <w:tabs>
          <w:tab w:val="left" w:pos="3990"/>
        </w:tabs>
        <w:spacing w:before="120" w:after="120" w:line="240" w:lineRule="auto"/>
        <w:jc w:val="both"/>
        <w:rPr>
          <w:rFonts w:ascii="Rockwell" w:eastAsia="Times New Roman" w:hAnsi="Rockwell" w:cs="Times New Roman"/>
          <w:sz w:val="24"/>
          <w:szCs w:val="24"/>
        </w:rPr>
      </w:pPr>
      <w:r w:rsidRPr="00E55E7A">
        <w:rPr>
          <w:rFonts w:ascii="Rockwell" w:eastAsia="Times New Roman" w:hAnsi="Rockwell" w:cs="Times New Roman"/>
          <w:sz w:val="24"/>
          <w:szCs w:val="24"/>
        </w:rPr>
        <w:tab/>
      </w:r>
    </w:p>
    <w:p w14:paraId="1B9D2F56" w14:textId="77777777" w:rsidR="0090282C" w:rsidRPr="00E55E7A" w:rsidRDefault="0090282C" w:rsidP="00E00126">
      <w:pPr>
        <w:spacing w:before="120" w:after="120" w:line="240" w:lineRule="auto"/>
        <w:rPr>
          <w:rFonts w:ascii="Rockwell" w:eastAsia="Times New Roman" w:hAnsi="Rockwell" w:cs="Times New Roman"/>
          <w:sz w:val="24"/>
          <w:szCs w:val="24"/>
        </w:rPr>
      </w:pPr>
    </w:p>
    <w:p w14:paraId="0BE05700" w14:textId="275059FE" w:rsidR="0090282C" w:rsidRDefault="0090282C" w:rsidP="00E00126">
      <w:pPr>
        <w:spacing w:before="120" w:after="120" w:line="240" w:lineRule="auto"/>
        <w:jc w:val="both"/>
        <w:rPr>
          <w:rFonts w:ascii="Rockwell" w:eastAsia="Times New Roman" w:hAnsi="Rockwell" w:cs="Times New Roman"/>
          <w:sz w:val="24"/>
          <w:szCs w:val="24"/>
        </w:rPr>
      </w:pPr>
    </w:p>
    <w:p w14:paraId="50991BD2" w14:textId="1CCD2A1F" w:rsidR="00752F31" w:rsidRDefault="00752F31" w:rsidP="00E00126">
      <w:pPr>
        <w:spacing w:before="120" w:after="120" w:line="240" w:lineRule="auto"/>
        <w:jc w:val="both"/>
        <w:rPr>
          <w:rFonts w:ascii="Rockwell" w:eastAsia="Times New Roman" w:hAnsi="Rockwell" w:cs="Times New Roman"/>
          <w:sz w:val="24"/>
          <w:szCs w:val="24"/>
        </w:rPr>
      </w:pPr>
    </w:p>
    <w:p w14:paraId="05D5B125" w14:textId="77777777" w:rsidR="00752F31" w:rsidRPr="00E55E7A" w:rsidRDefault="00752F31" w:rsidP="00E00126">
      <w:pPr>
        <w:spacing w:before="120" w:after="120" w:line="240" w:lineRule="auto"/>
        <w:jc w:val="both"/>
        <w:rPr>
          <w:rFonts w:ascii="Rockwell" w:eastAsia="Times New Roman" w:hAnsi="Rockwell" w:cs="Times New Roman"/>
          <w:sz w:val="24"/>
          <w:szCs w:val="24"/>
        </w:rPr>
      </w:pPr>
    </w:p>
    <w:p w14:paraId="37F832B6" w14:textId="7E5C6EF9" w:rsidR="0090282C" w:rsidRDefault="0090282C" w:rsidP="00E00126">
      <w:pPr>
        <w:spacing w:before="120" w:after="120" w:line="240" w:lineRule="auto"/>
        <w:jc w:val="both"/>
        <w:rPr>
          <w:rFonts w:ascii="Rockwell" w:eastAsia="Times New Roman" w:hAnsi="Rockwell" w:cs="Times New Roman"/>
          <w:sz w:val="24"/>
          <w:szCs w:val="24"/>
        </w:rPr>
      </w:pPr>
    </w:p>
    <w:p w14:paraId="3B1A34C1" w14:textId="77777777" w:rsidR="008825DC" w:rsidRDefault="008825DC" w:rsidP="00E00126">
      <w:pPr>
        <w:spacing w:before="120" w:after="120" w:line="240" w:lineRule="auto"/>
        <w:jc w:val="both"/>
        <w:rPr>
          <w:rFonts w:ascii="Rockwell" w:eastAsia="Times New Roman" w:hAnsi="Rockwell" w:cs="Times New Roman"/>
          <w:sz w:val="24"/>
          <w:szCs w:val="24"/>
        </w:rPr>
      </w:pPr>
    </w:p>
    <w:p w14:paraId="4ACDB8A5" w14:textId="77777777" w:rsidR="004F62E7" w:rsidRPr="00E55E7A" w:rsidRDefault="004F62E7" w:rsidP="00E00126">
      <w:pPr>
        <w:spacing w:before="120" w:after="120" w:line="240" w:lineRule="auto"/>
        <w:jc w:val="both"/>
        <w:rPr>
          <w:rFonts w:ascii="Rockwell" w:eastAsia="Times New Roman" w:hAnsi="Rockwell" w:cs="Times New Roman"/>
          <w:sz w:val="24"/>
          <w:szCs w:val="24"/>
        </w:rPr>
      </w:pPr>
    </w:p>
    <w:p w14:paraId="47BE3E1E" w14:textId="77777777" w:rsidR="0090282C" w:rsidRPr="00E55E7A" w:rsidRDefault="0090282C" w:rsidP="00E00126">
      <w:pPr>
        <w:spacing w:before="120" w:after="120" w:line="240" w:lineRule="auto"/>
        <w:jc w:val="both"/>
        <w:rPr>
          <w:rFonts w:ascii="Rockwell" w:eastAsia="Times New Roman" w:hAnsi="Rockwell" w:cs="Times New Roman"/>
          <w:sz w:val="24"/>
          <w:szCs w:val="24"/>
        </w:rPr>
      </w:pPr>
    </w:p>
    <w:p w14:paraId="50602EB9" w14:textId="0F441E61" w:rsidR="0090282C" w:rsidRDefault="00E81F03" w:rsidP="00E00126">
      <w:pPr>
        <w:pBdr>
          <w:top w:val="single" w:sz="18" w:space="1" w:color="auto" w:shadow="1"/>
          <w:left w:val="single" w:sz="18" w:space="4" w:color="auto" w:shadow="1"/>
          <w:bottom w:val="single" w:sz="18" w:space="1" w:color="auto" w:shadow="1"/>
          <w:right w:val="single" w:sz="18" w:space="4" w:color="auto" w:shadow="1"/>
        </w:pBdr>
        <w:spacing w:before="120" w:after="120" w:line="240" w:lineRule="auto"/>
        <w:jc w:val="center"/>
        <w:outlineLvl w:val="0"/>
        <w:rPr>
          <w:rFonts w:ascii="Rockwell" w:eastAsia="Times New Roman" w:hAnsi="Rockwell" w:cs="Times New Roman"/>
          <w:b/>
          <w:sz w:val="30"/>
          <w:szCs w:val="30"/>
        </w:rPr>
      </w:pPr>
      <w:r>
        <w:rPr>
          <w:rFonts w:ascii="Rockwell" w:eastAsia="Times New Roman" w:hAnsi="Rockwell" w:cs="Times New Roman"/>
          <w:b/>
          <w:sz w:val="30"/>
          <w:szCs w:val="30"/>
        </w:rPr>
        <w:t>S</w:t>
      </w:r>
      <w:r w:rsidRPr="00E81F03">
        <w:rPr>
          <w:rFonts w:ascii="Rockwell" w:eastAsia="Times New Roman" w:hAnsi="Rockwell" w:cs="Times New Roman"/>
          <w:b/>
          <w:sz w:val="30"/>
          <w:szCs w:val="30"/>
        </w:rPr>
        <w:t>ynthèse des modifications contenues dans le projet de loi portant règlementation générale de la commande publique</w:t>
      </w:r>
    </w:p>
    <w:p w14:paraId="14ED4155" w14:textId="77777777" w:rsidR="0090282C" w:rsidRPr="00E55E7A" w:rsidRDefault="0090282C" w:rsidP="00DA2E4C">
      <w:pPr>
        <w:spacing w:before="120" w:after="120" w:line="240" w:lineRule="auto"/>
        <w:jc w:val="both"/>
        <w:rPr>
          <w:rFonts w:ascii="Rockwell" w:eastAsia="Times New Roman" w:hAnsi="Rockwell" w:cs="Times New Roman"/>
          <w:b/>
          <w:sz w:val="24"/>
          <w:szCs w:val="24"/>
          <w:u w:val="single"/>
        </w:rPr>
      </w:pPr>
    </w:p>
    <w:p w14:paraId="50B0288F" w14:textId="38D17349"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427FB042" w14:textId="308CC069" w:rsidR="009C1A59" w:rsidRPr="009C1A59" w:rsidRDefault="009C1A59" w:rsidP="009C1A59">
      <w:pPr>
        <w:jc w:val="center"/>
        <w:rPr>
          <w:rFonts w:ascii="Rockwell" w:eastAsia="Times New Roman" w:hAnsi="Rockwell" w:cs="Times New Roman"/>
          <w:b/>
          <w:sz w:val="30"/>
          <w:szCs w:val="30"/>
        </w:rPr>
      </w:pPr>
    </w:p>
    <w:p w14:paraId="56408704" w14:textId="048899F2" w:rsidR="002E01FD" w:rsidRPr="00E55E7A" w:rsidRDefault="002E01FD" w:rsidP="00E00126">
      <w:pPr>
        <w:spacing w:before="120" w:after="120" w:line="240" w:lineRule="auto"/>
        <w:jc w:val="both"/>
        <w:rPr>
          <w:rFonts w:ascii="Rockwell" w:eastAsia="Times New Roman" w:hAnsi="Rockwell" w:cs="Times New Roman"/>
          <w:b/>
          <w:sz w:val="24"/>
          <w:szCs w:val="24"/>
          <w:u w:val="single"/>
        </w:rPr>
      </w:pPr>
    </w:p>
    <w:p w14:paraId="07868533" w14:textId="4B210A00" w:rsidR="002E01FD" w:rsidRDefault="002E01FD" w:rsidP="00E00126">
      <w:pPr>
        <w:spacing w:before="120" w:after="120" w:line="240" w:lineRule="auto"/>
        <w:jc w:val="both"/>
        <w:rPr>
          <w:rFonts w:ascii="Rockwell" w:eastAsia="Times New Roman" w:hAnsi="Rockwell" w:cs="Times New Roman"/>
          <w:b/>
          <w:sz w:val="24"/>
          <w:szCs w:val="24"/>
          <w:u w:val="single"/>
        </w:rPr>
      </w:pPr>
    </w:p>
    <w:p w14:paraId="4D898BCC" w14:textId="51317898" w:rsidR="00752F31" w:rsidRDefault="00752F31" w:rsidP="00E00126">
      <w:pPr>
        <w:spacing w:before="120" w:after="120" w:line="240" w:lineRule="auto"/>
        <w:jc w:val="both"/>
        <w:rPr>
          <w:rFonts w:ascii="Rockwell" w:eastAsia="Times New Roman" w:hAnsi="Rockwell" w:cs="Times New Roman"/>
          <w:b/>
          <w:sz w:val="24"/>
          <w:szCs w:val="24"/>
          <w:u w:val="single"/>
        </w:rPr>
      </w:pPr>
    </w:p>
    <w:p w14:paraId="71EC3336" w14:textId="77777777" w:rsidR="004F62E7" w:rsidRDefault="004F62E7" w:rsidP="00E00126">
      <w:pPr>
        <w:spacing w:before="120" w:after="120" w:line="240" w:lineRule="auto"/>
        <w:jc w:val="both"/>
        <w:rPr>
          <w:rFonts w:ascii="Rockwell" w:eastAsia="Times New Roman" w:hAnsi="Rockwell" w:cs="Times New Roman"/>
          <w:b/>
          <w:sz w:val="24"/>
          <w:szCs w:val="24"/>
          <w:u w:val="single"/>
        </w:rPr>
      </w:pPr>
    </w:p>
    <w:p w14:paraId="0E094194" w14:textId="142595EC" w:rsidR="00752F31" w:rsidRDefault="00752F31" w:rsidP="00E00126">
      <w:pPr>
        <w:spacing w:before="120" w:after="120" w:line="240" w:lineRule="auto"/>
        <w:jc w:val="both"/>
        <w:rPr>
          <w:rFonts w:ascii="Rockwell" w:eastAsia="Times New Roman" w:hAnsi="Rockwell" w:cs="Times New Roman"/>
          <w:b/>
          <w:sz w:val="24"/>
          <w:szCs w:val="24"/>
          <w:u w:val="single"/>
        </w:rPr>
      </w:pPr>
    </w:p>
    <w:p w14:paraId="00F53955" w14:textId="77777777" w:rsidR="00752F31" w:rsidRDefault="00752F31" w:rsidP="00E00126">
      <w:pPr>
        <w:spacing w:before="120" w:after="120" w:line="240" w:lineRule="auto"/>
        <w:jc w:val="both"/>
        <w:rPr>
          <w:rFonts w:ascii="Rockwell" w:eastAsia="Times New Roman" w:hAnsi="Rockwell" w:cs="Times New Roman"/>
          <w:b/>
          <w:sz w:val="24"/>
          <w:szCs w:val="24"/>
          <w:u w:val="single"/>
        </w:rPr>
      </w:pPr>
    </w:p>
    <w:p w14:paraId="10339E66" w14:textId="77777777" w:rsidR="00752F31" w:rsidRPr="00E55E7A" w:rsidRDefault="00752F31" w:rsidP="00E00126">
      <w:pPr>
        <w:spacing w:before="120" w:after="120" w:line="240" w:lineRule="auto"/>
        <w:jc w:val="both"/>
        <w:rPr>
          <w:rFonts w:ascii="Rockwell" w:eastAsia="Times New Roman" w:hAnsi="Rockwell" w:cs="Times New Roman"/>
          <w:b/>
          <w:sz w:val="24"/>
          <w:szCs w:val="24"/>
          <w:u w:val="single"/>
        </w:rPr>
      </w:pPr>
    </w:p>
    <w:p w14:paraId="1110C41A" w14:textId="15498013"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3FC31465" w14:textId="7D60B919" w:rsidR="00D206D7" w:rsidRPr="00E55E7A" w:rsidRDefault="00DA2E4C" w:rsidP="00E00126">
      <w:pPr>
        <w:spacing w:before="120" w:after="120" w:line="240" w:lineRule="auto"/>
        <w:jc w:val="right"/>
        <w:rPr>
          <w:rFonts w:ascii="Rockwell" w:eastAsia="Times New Roman" w:hAnsi="Rockwell" w:cs="Times New Roman"/>
          <w:b/>
          <w:sz w:val="24"/>
          <w:szCs w:val="24"/>
        </w:rPr>
      </w:pPr>
      <w:r>
        <w:rPr>
          <w:rFonts w:ascii="Rockwell" w:eastAsia="Times New Roman" w:hAnsi="Rockwell" w:cs="Times New Roman"/>
          <w:b/>
          <w:sz w:val="24"/>
          <w:szCs w:val="24"/>
        </w:rPr>
        <w:t xml:space="preserve">Juin </w:t>
      </w:r>
      <w:r w:rsidR="00D206D7" w:rsidRPr="00E55E7A">
        <w:rPr>
          <w:rFonts w:ascii="Rockwell" w:eastAsia="Times New Roman" w:hAnsi="Rockwell" w:cs="Times New Roman"/>
          <w:b/>
          <w:sz w:val="24"/>
          <w:szCs w:val="24"/>
        </w:rPr>
        <w:t>202</w:t>
      </w:r>
      <w:r w:rsidR="002E01FD" w:rsidRPr="00E55E7A">
        <w:rPr>
          <w:rFonts w:ascii="Rockwell" w:eastAsia="Times New Roman" w:hAnsi="Rockwell" w:cs="Times New Roman"/>
          <w:b/>
          <w:sz w:val="24"/>
          <w:szCs w:val="24"/>
        </w:rPr>
        <w:t>3</w:t>
      </w:r>
    </w:p>
    <w:p w14:paraId="5813FF5B" w14:textId="434E2603" w:rsidR="002E01FD" w:rsidRDefault="002E01FD" w:rsidP="00E00126">
      <w:pPr>
        <w:spacing w:before="120" w:after="120" w:line="240" w:lineRule="auto"/>
        <w:jc w:val="both"/>
        <w:rPr>
          <w:rFonts w:ascii="Rockwell" w:eastAsia="Arial" w:hAnsi="Rockwell" w:cs="Arial"/>
          <w:sz w:val="24"/>
          <w:szCs w:val="24"/>
        </w:rPr>
      </w:pPr>
    </w:p>
    <w:p w14:paraId="28151277" w14:textId="4B721CBF" w:rsidR="00E81F03" w:rsidRDefault="00E81F03" w:rsidP="00E00126">
      <w:pPr>
        <w:spacing w:before="120" w:after="120" w:line="240" w:lineRule="auto"/>
        <w:jc w:val="both"/>
        <w:rPr>
          <w:rFonts w:ascii="Rockwell" w:eastAsia="Arial" w:hAnsi="Rockwell" w:cs="Arial"/>
          <w:sz w:val="24"/>
          <w:szCs w:val="24"/>
        </w:rPr>
      </w:pPr>
    </w:p>
    <w:p w14:paraId="73C5AA18" w14:textId="77777777" w:rsidR="00E81F03" w:rsidRPr="00E55E7A" w:rsidRDefault="00E81F03" w:rsidP="00E00126">
      <w:pPr>
        <w:spacing w:before="120" w:after="120" w:line="240" w:lineRule="auto"/>
        <w:jc w:val="both"/>
        <w:rPr>
          <w:rFonts w:ascii="Rockwell" w:eastAsia="Arial" w:hAnsi="Rockwell" w:cs="Arial"/>
          <w:sz w:val="24"/>
          <w:szCs w:val="24"/>
        </w:rPr>
      </w:pPr>
    </w:p>
    <w:p w14:paraId="4450DBE2" w14:textId="41BB798B" w:rsidR="00253CB5" w:rsidRDefault="00253CB5" w:rsidP="00253CB5">
      <w:pPr>
        <w:pStyle w:val="Paragraphedeliste"/>
        <w:numPr>
          <w:ilvl w:val="0"/>
          <w:numId w:val="38"/>
        </w:numPr>
        <w:spacing w:before="120" w:after="120" w:line="240" w:lineRule="auto"/>
        <w:contextualSpacing w:val="0"/>
        <w:jc w:val="both"/>
        <w:rPr>
          <w:rFonts w:ascii="Rockwell" w:hAnsi="Rockwell"/>
          <w:sz w:val="24"/>
          <w:szCs w:val="24"/>
        </w:rPr>
      </w:pPr>
      <w:r w:rsidRPr="00253CB5">
        <w:rPr>
          <w:rFonts w:ascii="Rockwell" w:hAnsi="Rockwell"/>
          <w:sz w:val="24"/>
          <w:szCs w:val="24"/>
        </w:rPr>
        <w:lastRenderedPageBreak/>
        <w:t xml:space="preserve">La suppression de la notion de « délégations de service public » (DSP) et son remplacement par la notion de « partenariat public-privé », pour tenir compte de la prise en compte des DSP dans la nouvelle loi </w:t>
      </w:r>
      <w:r>
        <w:rPr>
          <w:rFonts w:ascii="Rockwell" w:hAnsi="Rockwell"/>
          <w:sz w:val="24"/>
          <w:szCs w:val="24"/>
        </w:rPr>
        <w:t>n°</w:t>
      </w:r>
      <w:r w:rsidR="006E0F1E" w:rsidRPr="006E0F1E">
        <w:rPr>
          <w:rFonts w:ascii="Rockwell" w:hAnsi="Rockwell"/>
          <w:sz w:val="24"/>
          <w:szCs w:val="24"/>
        </w:rPr>
        <w:t>032</w:t>
      </w:r>
      <w:r w:rsidR="006E0F1E">
        <w:rPr>
          <w:rFonts w:ascii="Rockwell" w:hAnsi="Rockwell"/>
          <w:sz w:val="24"/>
          <w:szCs w:val="24"/>
        </w:rPr>
        <w:t>-</w:t>
      </w:r>
      <w:r w:rsidR="006E0F1E" w:rsidRPr="006E0F1E">
        <w:rPr>
          <w:rFonts w:ascii="Rockwell" w:hAnsi="Rockwell"/>
          <w:sz w:val="24"/>
          <w:szCs w:val="24"/>
        </w:rPr>
        <w:t>2021</w:t>
      </w:r>
      <w:r w:rsidR="006E0F1E">
        <w:rPr>
          <w:rFonts w:ascii="Rockwell" w:hAnsi="Rockwell"/>
          <w:sz w:val="24"/>
          <w:szCs w:val="24"/>
        </w:rPr>
        <w:t>/</w:t>
      </w:r>
      <w:r w:rsidR="006E0F1E" w:rsidRPr="006E0F1E">
        <w:rPr>
          <w:rFonts w:ascii="Rockwell" w:hAnsi="Rockwell"/>
          <w:sz w:val="24"/>
          <w:szCs w:val="24"/>
        </w:rPr>
        <w:t>AN</w:t>
      </w:r>
      <w:r w:rsidR="006E0F1E">
        <w:rPr>
          <w:rFonts w:ascii="Rockwell" w:hAnsi="Rockwell"/>
          <w:sz w:val="24"/>
          <w:szCs w:val="24"/>
        </w:rPr>
        <w:t xml:space="preserve"> du </w:t>
      </w:r>
      <w:r w:rsidR="006E0F1E" w:rsidRPr="006E0F1E">
        <w:rPr>
          <w:rFonts w:ascii="Rockwell" w:hAnsi="Rockwell"/>
          <w:sz w:val="24"/>
          <w:szCs w:val="24"/>
        </w:rPr>
        <w:t>25</w:t>
      </w:r>
      <w:r w:rsidR="006E0F1E">
        <w:rPr>
          <w:rFonts w:ascii="Rockwell" w:hAnsi="Rockwell"/>
          <w:sz w:val="24"/>
          <w:szCs w:val="24"/>
        </w:rPr>
        <w:t xml:space="preserve"> juin </w:t>
      </w:r>
      <w:r w:rsidR="006E0F1E" w:rsidRPr="006E0F1E">
        <w:rPr>
          <w:rFonts w:ascii="Rockwell" w:hAnsi="Rockwell"/>
          <w:sz w:val="24"/>
          <w:szCs w:val="24"/>
        </w:rPr>
        <w:t>2021</w:t>
      </w:r>
      <w:r w:rsidR="006E0F1E">
        <w:rPr>
          <w:rFonts w:ascii="Rockwell" w:hAnsi="Rockwell"/>
          <w:sz w:val="24"/>
          <w:szCs w:val="24"/>
        </w:rPr>
        <w:t xml:space="preserve"> portant c</w:t>
      </w:r>
      <w:r w:rsidR="006E0F1E" w:rsidRPr="006E0F1E">
        <w:rPr>
          <w:rFonts w:ascii="Rockwell" w:hAnsi="Rockwell"/>
          <w:sz w:val="24"/>
          <w:szCs w:val="24"/>
        </w:rPr>
        <w:t>adre</w:t>
      </w:r>
      <w:r w:rsidR="006E0F1E">
        <w:rPr>
          <w:rFonts w:ascii="Rockwell" w:hAnsi="Rockwell"/>
          <w:sz w:val="24"/>
          <w:szCs w:val="24"/>
        </w:rPr>
        <w:t xml:space="preserve"> j</w:t>
      </w:r>
      <w:r w:rsidR="006E0F1E" w:rsidRPr="006E0F1E">
        <w:rPr>
          <w:rFonts w:ascii="Rockwell" w:hAnsi="Rockwell"/>
          <w:sz w:val="24"/>
          <w:szCs w:val="24"/>
        </w:rPr>
        <w:t>uridique</w:t>
      </w:r>
      <w:r w:rsidR="006E0F1E">
        <w:rPr>
          <w:rFonts w:ascii="Rockwell" w:hAnsi="Rockwell"/>
          <w:sz w:val="24"/>
          <w:szCs w:val="24"/>
        </w:rPr>
        <w:t xml:space="preserve"> et i</w:t>
      </w:r>
      <w:r w:rsidR="006E0F1E" w:rsidRPr="006E0F1E">
        <w:rPr>
          <w:rFonts w:ascii="Rockwell" w:hAnsi="Rockwell"/>
          <w:sz w:val="24"/>
          <w:szCs w:val="24"/>
        </w:rPr>
        <w:t>nstitutionnel</w:t>
      </w:r>
      <w:r w:rsidR="006E0F1E">
        <w:rPr>
          <w:rFonts w:ascii="Rockwell" w:hAnsi="Rockwell"/>
          <w:sz w:val="24"/>
          <w:szCs w:val="24"/>
        </w:rPr>
        <w:t xml:space="preserve"> du </w:t>
      </w:r>
      <w:r w:rsidR="006E0F1E" w:rsidRPr="00253CB5">
        <w:rPr>
          <w:rFonts w:ascii="Rockwell" w:hAnsi="Rockwell"/>
          <w:sz w:val="24"/>
          <w:szCs w:val="24"/>
        </w:rPr>
        <w:t>partenariat public-privé </w:t>
      </w:r>
      <w:r w:rsidR="006E0F1E">
        <w:rPr>
          <w:rFonts w:ascii="Rockwell" w:hAnsi="Rockwell"/>
          <w:sz w:val="24"/>
          <w:szCs w:val="24"/>
        </w:rPr>
        <w:t>au Burkina Faso</w:t>
      </w:r>
      <w:r w:rsidRPr="00253CB5">
        <w:rPr>
          <w:rFonts w:ascii="Rockwell" w:hAnsi="Rockwell"/>
          <w:sz w:val="24"/>
          <w:szCs w:val="24"/>
        </w:rPr>
        <w:t> ;</w:t>
      </w:r>
    </w:p>
    <w:p w14:paraId="5032A43C" w14:textId="7C07319D" w:rsidR="006A6846" w:rsidRDefault="006A6846" w:rsidP="00253CB5">
      <w:pPr>
        <w:pStyle w:val="Paragraphedeliste"/>
        <w:numPr>
          <w:ilvl w:val="0"/>
          <w:numId w:val="38"/>
        </w:numPr>
        <w:spacing w:before="120" w:after="120" w:line="240" w:lineRule="auto"/>
        <w:contextualSpacing w:val="0"/>
        <w:jc w:val="both"/>
        <w:rPr>
          <w:rFonts w:ascii="Rockwell" w:hAnsi="Rockwell"/>
          <w:sz w:val="24"/>
          <w:szCs w:val="24"/>
        </w:rPr>
      </w:pPr>
      <w:r w:rsidRPr="006A6846">
        <w:rPr>
          <w:rFonts w:ascii="Rockwell" w:hAnsi="Rockwell"/>
          <w:b/>
          <w:sz w:val="24"/>
          <w:szCs w:val="24"/>
        </w:rPr>
        <w:t>Article 1</w:t>
      </w:r>
      <w:r w:rsidRPr="006A6846">
        <w:rPr>
          <w:rFonts w:ascii="Rockwell" w:hAnsi="Rockwell"/>
          <w:sz w:val="24"/>
          <w:szCs w:val="24"/>
        </w:rPr>
        <w:t xml:space="preserve"> : l’ajout d’un </w:t>
      </w:r>
      <w:r>
        <w:rPr>
          <w:rFonts w:ascii="Rockwell" w:hAnsi="Rockwell"/>
          <w:sz w:val="24"/>
          <w:szCs w:val="24"/>
        </w:rPr>
        <w:t xml:space="preserve">nouvel </w:t>
      </w:r>
      <w:r w:rsidRPr="006A6846">
        <w:rPr>
          <w:rFonts w:ascii="Rockwell" w:hAnsi="Rockwell"/>
          <w:sz w:val="24"/>
          <w:szCs w:val="24"/>
        </w:rPr>
        <w:t>alinéa pour prendre en compte les infractions spécifiques à la commande publique et leurs sanctions au niveau de l’objet ;</w:t>
      </w:r>
    </w:p>
    <w:p w14:paraId="3B074328" w14:textId="62FC6CCA" w:rsidR="002A40EA" w:rsidRPr="00253CB5" w:rsidRDefault="002A40EA" w:rsidP="00253CB5">
      <w:pPr>
        <w:pStyle w:val="Paragraphedeliste"/>
        <w:numPr>
          <w:ilvl w:val="0"/>
          <w:numId w:val="38"/>
        </w:numPr>
        <w:spacing w:before="120" w:after="120" w:line="240" w:lineRule="auto"/>
        <w:contextualSpacing w:val="0"/>
        <w:jc w:val="both"/>
        <w:rPr>
          <w:rFonts w:ascii="Rockwell" w:hAnsi="Rockwell"/>
          <w:sz w:val="24"/>
          <w:szCs w:val="24"/>
        </w:rPr>
      </w:pPr>
      <w:r w:rsidRPr="00D179F2">
        <w:rPr>
          <w:rFonts w:ascii="Rockwell" w:hAnsi="Rockwell"/>
          <w:b/>
          <w:bCs/>
          <w:sz w:val="24"/>
          <w:szCs w:val="24"/>
        </w:rPr>
        <w:t xml:space="preserve">Article 2, point </w:t>
      </w:r>
      <w:r>
        <w:rPr>
          <w:rFonts w:ascii="Rockwell" w:hAnsi="Rockwell"/>
          <w:b/>
          <w:bCs/>
          <w:sz w:val="24"/>
          <w:szCs w:val="24"/>
        </w:rPr>
        <w:t>1</w:t>
      </w:r>
      <w:r w:rsidRPr="00D179F2">
        <w:rPr>
          <w:rFonts w:ascii="Rockwell" w:hAnsi="Rockwell"/>
          <w:b/>
          <w:bCs/>
          <w:sz w:val="24"/>
          <w:szCs w:val="24"/>
        </w:rPr>
        <w:t xml:space="preserve"> (</w:t>
      </w:r>
      <w:r>
        <w:rPr>
          <w:rFonts w:ascii="Rockwell" w:hAnsi="Rockwell"/>
          <w:b/>
          <w:bCs/>
          <w:sz w:val="24"/>
          <w:szCs w:val="24"/>
        </w:rPr>
        <w:t>appel d’offres</w:t>
      </w:r>
      <w:r w:rsidRPr="00D179F2">
        <w:rPr>
          <w:rFonts w:ascii="Rockwell" w:hAnsi="Rockwell"/>
          <w:b/>
          <w:bCs/>
          <w:sz w:val="24"/>
          <w:szCs w:val="24"/>
        </w:rPr>
        <w:t>)</w:t>
      </w:r>
      <w:r>
        <w:rPr>
          <w:rFonts w:ascii="Rockwell" w:hAnsi="Rockwell"/>
          <w:b/>
          <w:bCs/>
          <w:sz w:val="24"/>
          <w:szCs w:val="24"/>
        </w:rPr>
        <w:t> :</w:t>
      </w:r>
      <w:r>
        <w:rPr>
          <w:rFonts w:ascii="Rockwell" w:hAnsi="Rockwell"/>
          <w:sz w:val="24"/>
          <w:szCs w:val="24"/>
        </w:rPr>
        <w:t xml:space="preserve"> </w:t>
      </w:r>
      <w:r w:rsidRPr="002A40EA">
        <w:rPr>
          <w:rFonts w:ascii="Rockwell" w:hAnsi="Rockwell"/>
          <w:sz w:val="24"/>
          <w:szCs w:val="24"/>
        </w:rPr>
        <w:t>le remplacement de la notion « appel d’offres » par « appel à concurrence » pour tenir compte de l’ensemble des procédures concurrentielles ouvertes</w:t>
      </w:r>
      <w:r>
        <w:rPr>
          <w:rFonts w:ascii="Rockwell" w:hAnsi="Rockwell"/>
          <w:sz w:val="24"/>
          <w:szCs w:val="24"/>
        </w:rPr>
        <w:t>.</w:t>
      </w:r>
    </w:p>
    <w:p w14:paraId="5041453B" w14:textId="7CEDB4EF" w:rsidR="00D179F2" w:rsidRDefault="00D179F2" w:rsidP="00D179F2">
      <w:pPr>
        <w:pStyle w:val="Paragraphedeliste"/>
        <w:numPr>
          <w:ilvl w:val="0"/>
          <w:numId w:val="38"/>
        </w:numPr>
        <w:spacing w:before="120" w:after="120" w:line="240" w:lineRule="auto"/>
        <w:contextualSpacing w:val="0"/>
        <w:jc w:val="both"/>
        <w:rPr>
          <w:rFonts w:ascii="Rockwell" w:hAnsi="Rockwell"/>
          <w:sz w:val="24"/>
          <w:szCs w:val="24"/>
        </w:rPr>
      </w:pPr>
      <w:r w:rsidRPr="00D179F2">
        <w:rPr>
          <w:rFonts w:ascii="Rockwell" w:hAnsi="Rockwell"/>
          <w:b/>
          <w:bCs/>
          <w:sz w:val="24"/>
          <w:szCs w:val="24"/>
        </w:rPr>
        <w:t>Article 2, point 6 (commande publique) :</w:t>
      </w:r>
      <w:r w:rsidRPr="00D179F2">
        <w:rPr>
          <w:rFonts w:ascii="Rockwell" w:hAnsi="Rockwell"/>
          <w:sz w:val="24"/>
          <w:szCs w:val="24"/>
        </w:rPr>
        <w:t xml:space="preserve"> </w:t>
      </w:r>
      <w:r w:rsidR="00626E93">
        <w:rPr>
          <w:rFonts w:ascii="Rockwell" w:hAnsi="Rockwell"/>
          <w:sz w:val="24"/>
          <w:szCs w:val="24"/>
        </w:rPr>
        <w:t xml:space="preserve">il y a eu </w:t>
      </w:r>
      <w:r>
        <w:rPr>
          <w:rFonts w:ascii="Rockwell" w:hAnsi="Rockwell"/>
          <w:sz w:val="24"/>
          <w:szCs w:val="24"/>
        </w:rPr>
        <w:t>le</w:t>
      </w:r>
      <w:r w:rsidRPr="00D179F2">
        <w:rPr>
          <w:rFonts w:ascii="Rockwell" w:hAnsi="Rockwell"/>
          <w:sz w:val="24"/>
          <w:szCs w:val="24"/>
        </w:rPr>
        <w:t xml:space="preserve"> remplace</w:t>
      </w:r>
      <w:r>
        <w:rPr>
          <w:rFonts w:ascii="Rockwell" w:hAnsi="Rockwell"/>
          <w:sz w:val="24"/>
          <w:szCs w:val="24"/>
        </w:rPr>
        <w:t>ment</w:t>
      </w:r>
      <w:r w:rsidR="00B3579F">
        <w:rPr>
          <w:rFonts w:ascii="Rockwell" w:hAnsi="Rockwell"/>
          <w:sz w:val="24"/>
          <w:szCs w:val="24"/>
        </w:rPr>
        <w:t xml:space="preserve"> de</w:t>
      </w:r>
      <w:proofErr w:type="gramStart"/>
      <w:r w:rsidRPr="00D179F2">
        <w:rPr>
          <w:rFonts w:ascii="Rockwell" w:hAnsi="Rockwell"/>
          <w:sz w:val="24"/>
          <w:szCs w:val="24"/>
        </w:rPr>
        <w:t xml:space="preserve"> « ….</w:t>
      </w:r>
      <w:proofErr w:type="gramEnd"/>
      <w:r w:rsidRPr="00D179F2">
        <w:rPr>
          <w:rFonts w:ascii="Rockwell" w:hAnsi="Rockwell"/>
          <w:sz w:val="24"/>
          <w:szCs w:val="24"/>
        </w:rPr>
        <w:t>d'acquisition de biens, de services ou de prestations au profit…. » par « …… d'acquisition de biens et de services au profit….. ».</w:t>
      </w:r>
    </w:p>
    <w:p w14:paraId="46434283" w14:textId="2A67C934" w:rsidR="002A40EA" w:rsidRDefault="002A40EA" w:rsidP="00D179F2">
      <w:pPr>
        <w:pStyle w:val="Paragraphedeliste"/>
        <w:numPr>
          <w:ilvl w:val="0"/>
          <w:numId w:val="38"/>
        </w:numPr>
        <w:spacing w:before="120" w:after="120" w:line="240" w:lineRule="auto"/>
        <w:contextualSpacing w:val="0"/>
        <w:jc w:val="both"/>
        <w:rPr>
          <w:rFonts w:ascii="Rockwell" w:hAnsi="Rockwell"/>
          <w:sz w:val="24"/>
          <w:szCs w:val="24"/>
        </w:rPr>
      </w:pPr>
      <w:r w:rsidRPr="002A40EA">
        <w:rPr>
          <w:rFonts w:ascii="Rockwell" w:hAnsi="Rockwell"/>
          <w:b/>
          <w:bCs/>
          <w:sz w:val="24"/>
          <w:szCs w:val="24"/>
        </w:rPr>
        <w:t xml:space="preserve">Article 2, point </w:t>
      </w:r>
      <w:r>
        <w:rPr>
          <w:rFonts w:ascii="Rockwell" w:hAnsi="Rockwell"/>
          <w:b/>
          <w:bCs/>
          <w:sz w:val="24"/>
          <w:szCs w:val="24"/>
        </w:rPr>
        <w:t>7</w:t>
      </w:r>
      <w:r w:rsidRPr="002A40EA">
        <w:rPr>
          <w:rFonts w:ascii="Rockwell" w:hAnsi="Rockwell"/>
          <w:b/>
          <w:bCs/>
          <w:sz w:val="24"/>
          <w:szCs w:val="24"/>
        </w:rPr>
        <w:t xml:space="preserve"> (</w:t>
      </w:r>
      <w:r>
        <w:rPr>
          <w:rFonts w:ascii="Rockwell" w:hAnsi="Rockwell"/>
          <w:b/>
          <w:bCs/>
          <w:sz w:val="24"/>
          <w:szCs w:val="24"/>
        </w:rPr>
        <w:t>conflit d’intérêt</w:t>
      </w:r>
      <w:r w:rsidRPr="002A40EA">
        <w:rPr>
          <w:rFonts w:ascii="Rockwell" w:hAnsi="Rockwell"/>
          <w:b/>
          <w:bCs/>
          <w:sz w:val="24"/>
          <w:szCs w:val="24"/>
        </w:rPr>
        <w:t>)</w:t>
      </w:r>
      <w:r>
        <w:rPr>
          <w:rFonts w:ascii="Rockwell" w:hAnsi="Rockwell"/>
          <w:b/>
          <w:bCs/>
          <w:sz w:val="24"/>
          <w:szCs w:val="24"/>
        </w:rPr>
        <w:t> :</w:t>
      </w:r>
      <w:r>
        <w:rPr>
          <w:rFonts w:ascii="Rockwell" w:hAnsi="Rockwell"/>
          <w:sz w:val="24"/>
          <w:szCs w:val="24"/>
        </w:rPr>
        <w:t xml:space="preserve"> </w:t>
      </w:r>
      <w:r w:rsidRPr="002A40EA">
        <w:rPr>
          <w:rFonts w:ascii="Rockwell" w:hAnsi="Rockwell"/>
          <w:b/>
          <w:bCs/>
          <w:sz w:val="24"/>
          <w:szCs w:val="24"/>
        </w:rPr>
        <w:t> </w:t>
      </w:r>
      <w:r w:rsidRPr="002A40EA">
        <w:rPr>
          <w:rFonts w:ascii="Rockwell" w:hAnsi="Rockwell"/>
          <w:sz w:val="24"/>
          <w:szCs w:val="24"/>
        </w:rPr>
        <w:t>l’harmonisation de la définition de conflit d’intérêts entre la loi et le code d’éthique et de déontologie. Par ailleurs, les intérêts privés en cause, ont été limités aux intérêts directs de l’agent et aux intérêts indirects (des parents jusqu’à la quatrième génération)</w:t>
      </w:r>
      <w:r>
        <w:rPr>
          <w:rFonts w:ascii="Rockwell" w:hAnsi="Rockwell"/>
          <w:sz w:val="24"/>
          <w:szCs w:val="24"/>
        </w:rPr>
        <w:t>.</w:t>
      </w:r>
    </w:p>
    <w:p w14:paraId="13517F01" w14:textId="044B0640" w:rsidR="00D179F2" w:rsidRDefault="00D179F2" w:rsidP="00D179F2">
      <w:pPr>
        <w:pStyle w:val="Paragraphedeliste"/>
        <w:numPr>
          <w:ilvl w:val="0"/>
          <w:numId w:val="38"/>
        </w:numPr>
        <w:spacing w:before="120" w:after="120" w:line="240" w:lineRule="auto"/>
        <w:contextualSpacing w:val="0"/>
        <w:jc w:val="both"/>
        <w:rPr>
          <w:rFonts w:ascii="Rockwell" w:hAnsi="Rockwell"/>
          <w:sz w:val="24"/>
          <w:szCs w:val="24"/>
        </w:rPr>
      </w:pPr>
      <w:r w:rsidRPr="00D179F2">
        <w:rPr>
          <w:rFonts w:ascii="Rockwell" w:hAnsi="Rockwell"/>
          <w:b/>
          <w:bCs/>
          <w:sz w:val="24"/>
          <w:szCs w:val="24"/>
        </w:rPr>
        <w:t>Article 2, point 8 (corruption) :</w:t>
      </w:r>
      <w:r w:rsidRPr="00D179F2">
        <w:rPr>
          <w:rFonts w:ascii="Rockwell" w:hAnsi="Rockwell"/>
          <w:sz w:val="24"/>
          <w:szCs w:val="24"/>
        </w:rPr>
        <w:t xml:space="preserve"> </w:t>
      </w:r>
      <w:r w:rsidR="00626E93">
        <w:rPr>
          <w:rFonts w:ascii="Rockwell" w:hAnsi="Rockwell"/>
          <w:sz w:val="24"/>
          <w:szCs w:val="24"/>
        </w:rPr>
        <w:t xml:space="preserve">au niveau de la puce (2) relatif au recours à l’entente directe, l’expression « abusivement » a été remplacée par « de manière irrégulière ». Aussi, il y a eu </w:t>
      </w:r>
      <w:r w:rsidR="00B3579F">
        <w:rPr>
          <w:rFonts w:ascii="Rockwell" w:hAnsi="Rockwell"/>
          <w:sz w:val="24"/>
          <w:szCs w:val="24"/>
        </w:rPr>
        <w:t>le</w:t>
      </w:r>
      <w:r w:rsidR="00B3579F" w:rsidRPr="00D179F2">
        <w:rPr>
          <w:rFonts w:ascii="Rockwell" w:hAnsi="Rockwell"/>
          <w:sz w:val="24"/>
          <w:szCs w:val="24"/>
        </w:rPr>
        <w:t xml:space="preserve"> remplace</w:t>
      </w:r>
      <w:r w:rsidR="00B3579F">
        <w:rPr>
          <w:rFonts w:ascii="Rockwell" w:hAnsi="Rockwell"/>
          <w:sz w:val="24"/>
          <w:szCs w:val="24"/>
        </w:rPr>
        <w:t>ment de</w:t>
      </w:r>
      <w:r w:rsidR="00B3579F" w:rsidRPr="00D179F2">
        <w:rPr>
          <w:rFonts w:ascii="Rockwell" w:hAnsi="Rockwell"/>
          <w:sz w:val="24"/>
          <w:szCs w:val="24"/>
        </w:rPr>
        <w:t xml:space="preserve"> </w:t>
      </w:r>
      <w:r w:rsidRPr="00D179F2">
        <w:rPr>
          <w:rFonts w:ascii="Rockwell" w:hAnsi="Rockwell"/>
          <w:sz w:val="24"/>
          <w:szCs w:val="24"/>
        </w:rPr>
        <w:t>« ….</w:t>
      </w:r>
      <w:r w:rsidR="00184C8E">
        <w:rPr>
          <w:rFonts w:ascii="Rockwell" w:hAnsi="Rockwell"/>
          <w:sz w:val="24"/>
          <w:szCs w:val="24"/>
        </w:rPr>
        <w:t xml:space="preserve"> </w:t>
      </w:r>
      <w:proofErr w:type="gramStart"/>
      <w:r w:rsidRPr="00D179F2">
        <w:rPr>
          <w:rFonts w:ascii="Rockwell" w:hAnsi="Rockwell"/>
          <w:sz w:val="24"/>
          <w:szCs w:val="24"/>
        </w:rPr>
        <w:t>au</w:t>
      </w:r>
      <w:proofErr w:type="gramEnd"/>
      <w:r w:rsidRPr="00D179F2">
        <w:rPr>
          <w:rFonts w:ascii="Rockwell" w:hAnsi="Rockwell"/>
          <w:sz w:val="24"/>
          <w:szCs w:val="24"/>
        </w:rPr>
        <w:t xml:space="preserve"> nom de l’Etat d’une collectivité territoriale, d’un établissement public de l’Etat ou d’une société d’Etat. » par « …..au nom des personnes définies à l’article 3 »</w:t>
      </w:r>
      <w:r w:rsidR="00B3579F">
        <w:rPr>
          <w:rFonts w:ascii="Rockwell" w:hAnsi="Rockwell"/>
          <w:sz w:val="24"/>
          <w:szCs w:val="24"/>
        </w:rPr>
        <w:t xml:space="preserve"> </w:t>
      </w:r>
      <w:r w:rsidR="00F50D43">
        <w:rPr>
          <w:rFonts w:ascii="Rockwell" w:hAnsi="Rockwell"/>
          <w:sz w:val="24"/>
          <w:szCs w:val="24"/>
        </w:rPr>
        <w:t xml:space="preserve">en vue de </w:t>
      </w:r>
      <w:r w:rsidRPr="00D179F2">
        <w:rPr>
          <w:rFonts w:ascii="Rockwell" w:hAnsi="Rockwell"/>
          <w:sz w:val="24"/>
          <w:szCs w:val="24"/>
        </w:rPr>
        <w:t xml:space="preserve">prendre en compte toutes les autorités contractantes visées </w:t>
      </w:r>
      <w:r w:rsidR="00F50D43">
        <w:rPr>
          <w:rFonts w:ascii="Rockwell" w:hAnsi="Rockwell"/>
          <w:sz w:val="24"/>
          <w:szCs w:val="24"/>
        </w:rPr>
        <w:t xml:space="preserve">audit </w:t>
      </w:r>
      <w:r w:rsidRPr="00D179F2">
        <w:rPr>
          <w:rFonts w:ascii="Rockwell" w:hAnsi="Rockwell"/>
          <w:sz w:val="24"/>
          <w:szCs w:val="24"/>
        </w:rPr>
        <w:t>article 3</w:t>
      </w:r>
      <w:r w:rsidR="00B3579F">
        <w:rPr>
          <w:rFonts w:ascii="Rockwell" w:hAnsi="Rockwell"/>
          <w:sz w:val="24"/>
          <w:szCs w:val="24"/>
        </w:rPr>
        <w:t xml:space="preserve"> de la loi</w:t>
      </w:r>
      <w:r w:rsidRPr="00D179F2">
        <w:rPr>
          <w:rFonts w:ascii="Rockwell" w:hAnsi="Rockwell"/>
          <w:sz w:val="24"/>
          <w:szCs w:val="24"/>
        </w:rPr>
        <w:t>.</w:t>
      </w:r>
    </w:p>
    <w:p w14:paraId="4D3B7CC5" w14:textId="17D86F13" w:rsidR="00BD0150" w:rsidRDefault="00BD0150" w:rsidP="00D179F2">
      <w:pPr>
        <w:pStyle w:val="Paragraphedeliste"/>
        <w:numPr>
          <w:ilvl w:val="0"/>
          <w:numId w:val="38"/>
        </w:numPr>
        <w:spacing w:before="120" w:after="120" w:line="240" w:lineRule="auto"/>
        <w:contextualSpacing w:val="0"/>
        <w:jc w:val="both"/>
        <w:rPr>
          <w:rFonts w:ascii="Rockwell" w:hAnsi="Rockwell"/>
          <w:sz w:val="24"/>
          <w:szCs w:val="24"/>
        </w:rPr>
      </w:pPr>
      <w:r w:rsidRPr="00D179F2">
        <w:rPr>
          <w:rFonts w:ascii="Rockwell" w:hAnsi="Rockwell"/>
          <w:b/>
          <w:bCs/>
          <w:sz w:val="24"/>
          <w:szCs w:val="24"/>
        </w:rPr>
        <w:t xml:space="preserve">Article 2, point </w:t>
      </w:r>
      <w:r>
        <w:rPr>
          <w:rFonts w:ascii="Rockwell" w:hAnsi="Rockwell"/>
          <w:b/>
          <w:bCs/>
          <w:sz w:val="24"/>
          <w:szCs w:val="24"/>
        </w:rPr>
        <w:t>22</w:t>
      </w:r>
      <w:r w:rsidRPr="00D179F2">
        <w:rPr>
          <w:rFonts w:ascii="Rockwell" w:hAnsi="Rockwell"/>
          <w:b/>
          <w:bCs/>
          <w:sz w:val="24"/>
          <w:szCs w:val="24"/>
        </w:rPr>
        <w:t xml:space="preserve"> (</w:t>
      </w:r>
      <w:r w:rsidRPr="00BD0150">
        <w:rPr>
          <w:rFonts w:ascii="Rockwell" w:hAnsi="Rockwell"/>
          <w:b/>
          <w:bCs/>
          <w:sz w:val="24"/>
          <w:szCs w:val="24"/>
        </w:rPr>
        <w:t>partenariat public-privé</w:t>
      </w:r>
      <w:r w:rsidRPr="00D179F2">
        <w:rPr>
          <w:rFonts w:ascii="Rockwell" w:hAnsi="Rockwell"/>
          <w:b/>
          <w:bCs/>
          <w:sz w:val="24"/>
          <w:szCs w:val="24"/>
        </w:rPr>
        <w:t>) :</w:t>
      </w:r>
      <w:r>
        <w:rPr>
          <w:rFonts w:ascii="Rockwell" w:hAnsi="Rockwell"/>
          <w:sz w:val="24"/>
          <w:szCs w:val="24"/>
        </w:rPr>
        <w:t xml:space="preserve"> </w:t>
      </w:r>
      <w:r w:rsidRPr="00BD0150">
        <w:rPr>
          <w:rFonts w:ascii="Rockwell" w:hAnsi="Rockwell"/>
          <w:sz w:val="24"/>
          <w:szCs w:val="24"/>
        </w:rPr>
        <w:t>l’harmonisation de la notion de « partenariat public-privé » entre la loi portant cadre juridique et institutionnel du PPP et la loi portant réglementation générale de la commande publique</w:t>
      </w:r>
      <w:r>
        <w:rPr>
          <w:rFonts w:ascii="Rockwell" w:hAnsi="Rockwell"/>
          <w:sz w:val="24"/>
          <w:szCs w:val="24"/>
        </w:rPr>
        <w:t>.</w:t>
      </w:r>
    </w:p>
    <w:p w14:paraId="75187480" w14:textId="667D90C4" w:rsidR="005D55C0" w:rsidRPr="00D15F6F" w:rsidRDefault="005D55C0" w:rsidP="0066397C">
      <w:pPr>
        <w:pStyle w:val="Paragraphedeliste"/>
        <w:numPr>
          <w:ilvl w:val="0"/>
          <w:numId w:val="38"/>
        </w:numPr>
        <w:spacing w:before="120" w:after="120" w:line="240" w:lineRule="auto"/>
        <w:contextualSpacing w:val="0"/>
        <w:jc w:val="both"/>
        <w:rPr>
          <w:rFonts w:ascii="Rockwell" w:hAnsi="Rockwell"/>
          <w:sz w:val="24"/>
          <w:szCs w:val="24"/>
        </w:rPr>
      </w:pPr>
      <w:r w:rsidRPr="00D15F6F">
        <w:rPr>
          <w:rFonts w:ascii="Rockwell" w:hAnsi="Rockwell"/>
          <w:b/>
          <w:bCs/>
          <w:sz w:val="24"/>
          <w:szCs w:val="24"/>
        </w:rPr>
        <w:t>Article 2 :</w:t>
      </w:r>
      <w:r w:rsidR="00355B31" w:rsidRPr="00D15F6F">
        <w:rPr>
          <w:rFonts w:ascii="Rockwell" w:hAnsi="Rockwell"/>
          <w:sz w:val="24"/>
          <w:szCs w:val="24"/>
        </w:rPr>
        <w:t xml:space="preserve"> </w:t>
      </w:r>
      <w:r w:rsidRPr="00D15F6F">
        <w:rPr>
          <w:rFonts w:ascii="Rockwell" w:hAnsi="Rockwell"/>
          <w:sz w:val="24"/>
          <w:szCs w:val="24"/>
        </w:rPr>
        <w:t>la prise en compte de</w:t>
      </w:r>
      <w:r w:rsidR="00D15F6F" w:rsidRPr="00D15F6F">
        <w:rPr>
          <w:rFonts w:ascii="Rockwell" w:hAnsi="Rockwell"/>
          <w:sz w:val="24"/>
          <w:szCs w:val="24"/>
        </w:rPr>
        <w:t xml:space="preserve"> nouvelle</w:t>
      </w:r>
      <w:r w:rsidRPr="00D15F6F">
        <w:rPr>
          <w:rFonts w:ascii="Rockwell" w:hAnsi="Rockwell"/>
          <w:sz w:val="24"/>
          <w:szCs w:val="24"/>
        </w:rPr>
        <w:t>s terminologies notamment </w:t>
      </w:r>
      <w:r w:rsidR="00355B31" w:rsidRPr="00D15F6F">
        <w:rPr>
          <w:rFonts w:ascii="Rockwell" w:hAnsi="Rockwell"/>
          <w:sz w:val="24"/>
          <w:szCs w:val="24"/>
        </w:rPr>
        <w:t>l’</w:t>
      </w:r>
      <w:r w:rsidRPr="00D15F6F">
        <w:rPr>
          <w:rFonts w:ascii="Rockwell" w:hAnsi="Rockwell"/>
          <w:sz w:val="24"/>
          <w:szCs w:val="24"/>
        </w:rPr>
        <w:t>achat</w:t>
      </w:r>
      <w:r w:rsidR="00D15F6F" w:rsidRPr="00D15F6F">
        <w:rPr>
          <w:rFonts w:ascii="Rockwell" w:hAnsi="Rockwell"/>
          <w:sz w:val="24"/>
          <w:szCs w:val="24"/>
        </w:rPr>
        <w:t xml:space="preserve"> </w:t>
      </w:r>
      <w:r w:rsidRPr="00D15F6F">
        <w:rPr>
          <w:rFonts w:ascii="Rockwell" w:hAnsi="Rockwell"/>
          <w:sz w:val="24"/>
          <w:szCs w:val="24"/>
        </w:rPr>
        <w:t>public durable</w:t>
      </w:r>
      <w:r w:rsidR="00D15F6F" w:rsidRPr="00D15F6F">
        <w:rPr>
          <w:rFonts w:ascii="Rockwell" w:hAnsi="Rockwell"/>
          <w:sz w:val="24"/>
          <w:szCs w:val="24"/>
        </w:rPr>
        <w:t xml:space="preserve"> (APD)</w:t>
      </w:r>
      <w:r w:rsidRPr="00D15F6F">
        <w:rPr>
          <w:rFonts w:ascii="Rockwell" w:hAnsi="Rockwell"/>
          <w:sz w:val="24"/>
          <w:szCs w:val="24"/>
        </w:rPr>
        <w:t xml:space="preserve">, </w:t>
      </w:r>
      <w:r w:rsidR="00D15F6F" w:rsidRPr="00D15F6F">
        <w:rPr>
          <w:rFonts w:ascii="Rockwell" w:hAnsi="Rockwell"/>
          <w:sz w:val="24"/>
          <w:szCs w:val="24"/>
        </w:rPr>
        <w:t>la déontologie, l’éthique et le principe d’intégrité.</w:t>
      </w:r>
    </w:p>
    <w:p w14:paraId="184F000F" w14:textId="6A5CC96F" w:rsidR="00D179F2" w:rsidRPr="00763115" w:rsidRDefault="00D179F2" w:rsidP="00D179F2">
      <w:pPr>
        <w:pStyle w:val="Paragraphedeliste"/>
        <w:numPr>
          <w:ilvl w:val="0"/>
          <w:numId w:val="38"/>
        </w:numPr>
        <w:spacing w:before="120" w:after="120" w:line="240" w:lineRule="auto"/>
        <w:contextualSpacing w:val="0"/>
        <w:jc w:val="both"/>
        <w:rPr>
          <w:rFonts w:ascii="Rockwell" w:hAnsi="Rockwell"/>
          <w:sz w:val="24"/>
          <w:szCs w:val="24"/>
        </w:rPr>
      </w:pPr>
      <w:r w:rsidRPr="00D179F2">
        <w:rPr>
          <w:rFonts w:ascii="Rockwell" w:hAnsi="Rockwell"/>
          <w:b/>
          <w:bCs/>
          <w:sz w:val="24"/>
          <w:szCs w:val="24"/>
        </w:rPr>
        <w:t>Article 7 :</w:t>
      </w:r>
      <w:r w:rsidRPr="00D179F2">
        <w:rPr>
          <w:rFonts w:ascii="Rockwell" w:hAnsi="Rockwell"/>
          <w:sz w:val="24"/>
          <w:szCs w:val="24"/>
        </w:rPr>
        <w:t xml:space="preserve"> l</w:t>
      </w:r>
      <w:r w:rsidR="00B3579F">
        <w:rPr>
          <w:rFonts w:ascii="Rockwell" w:hAnsi="Rockwell"/>
          <w:sz w:val="24"/>
          <w:szCs w:val="24"/>
        </w:rPr>
        <w:t>’a</w:t>
      </w:r>
      <w:r w:rsidR="008632E9">
        <w:rPr>
          <w:rFonts w:ascii="Rockwell" w:hAnsi="Rockwell"/>
          <w:sz w:val="24"/>
          <w:szCs w:val="24"/>
        </w:rPr>
        <w:t>jout d’un 5</w:t>
      </w:r>
      <w:r w:rsidR="008632E9" w:rsidRPr="008632E9">
        <w:rPr>
          <w:rFonts w:ascii="Rockwell" w:hAnsi="Rockwell"/>
          <w:sz w:val="24"/>
          <w:szCs w:val="24"/>
          <w:vertAlign w:val="superscript"/>
        </w:rPr>
        <w:t>ème</w:t>
      </w:r>
      <w:r w:rsidR="008632E9">
        <w:rPr>
          <w:rFonts w:ascii="Rockwell" w:hAnsi="Rockwell"/>
          <w:sz w:val="24"/>
          <w:szCs w:val="24"/>
        </w:rPr>
        <w:t xml:space="preserve"> principe intitulé </w:t>
      </w:r>
      <w:r w:rsidR="008632E9" w:rsidRPr="008632E9">
        <w:rPr>
          <w:rFonts w:ascii="Rockwell" w:hAnsi="Rockwell"/>
          <w:sz w:val="24"/>
          <w:szCs w:val="24"/>
        </w:rPr>
        <w:t>« </w:t>
      </w:r>
      <w:r w:rsidR="008632E9">
        <w:rPr>
          <w:rFonts w:ascii="Rockwell" w:hAnsi="Rockwell"/>
          <w:sz w:val="24"/>
          <w:szCs w:val="24"/>
        </w:rPr>
        <w:t>L</w:t>
      </w:r>
      <w:r w:rsidR="008632E9" w:rsidRPr="008632E9">
        <w:rPr>
          <w:rFonts w:ascii="Rockwell" w:hAnsi="Rockwell"/>
          <w:sz w:val="24"/>
          <w:szCs w:val="24"/>
        </w:rPr>
        <w:t>’intégrité du processus de passation, d’exécution et de règlement des marchés publics. »</w:t>
      </w:r>
      <w:r w:rsidR="008632E9">
        <w:rPr>
          <w:rFonts w:ascii="Rockwell" w:hAnsi="Rockwell"/>
          <w:sz w:val="24"/>
          <w:szCs w:val="24"/>
        </w:rPr>
        <w:t xml:space="preserve"> en </w:t>
      </w:r>
      <w:r w:rsidR="00CA0A79">
        <w:rPr>
          <w:rFonts w:ascii="Rockwell" w:hAnsi="Rockwell"/>
          <w:sz w:val="24"/>
          <w:szCs w:val="24"/>
        </w:rPr>
        <w:t xml:space="preserve">vue </w:t>
      </w:r>
      <w:r w:rsidR="008632E9">
        <w:rPr>
          <w:rFonts w:ascii="Rockwell" w:hAnsi="Rockwell"/>
          <w:sz w:val="24"/>
          <w:szCs w:val="24"/>
        </w:rPr>
        <w:t>de prendre en compte les recommandations de l’étude sur les achats publics durable (APD)</w:t>
      </w:r>
      <w:r w:rsidR="00B3579F">
        <w:rPr>
          <w:rFonts w:ascii="Rockwell" w:hAnsi="Rockwell"/>
          <w:sz w:val="24"/>
          <w:szCs w:val="24"/>
        </w:rPr>
        <w:t>.</w:t>
      </w:r>
      <w:r w:rsidR="00763115">
        <w:rPr>
          <w:rFonts w:ascii="Rockwell" w:hAnsi="Rockwell"/>
          <w:sz w:val="24"/>
          <w:szCs w:val="24"/>
        </w:rPr>
        <w:t xml:space="preserve"> Aussi, il y a eu l’ajout d’un alinéa pour obliger l</w:t>
      </w:r>
      <w:r w:rsidR="00763115" w:rsidRPr="00763115">
        <w:rPr>
          <w:rFonts w:ascii="Rockwell" w:hAnsi="Rockwell"/>
          <w:sz w:val="24"/>
          <w:szCs w:val="24"/>
        </w:rPr>
        <w:t xml:space="preserve">es autorités contractantes </w:t>
      </w:r>
      <w:r w:rsidR="00763115">
        <w:rPr>
          <w:rFonts w:ascii="Rockwell" w:hAnsi="Rockwell"/>
          <w:sz w:val="24"/>
          <w:szCs w:val="24"/>
        </w:rPr>
        <w:t xml:space="preserve">à </w:t>
      </w:r>
      <w:r w:rsidR="00763115" w:rsidRPr="00763115">
        <w:rPr>
          <w:rFonts w:ascii="Rockwell" w:hAnsi="Rockwell"/>
          <w:sz w:val="24"/>
          <w:szCs w:val="24"/>
        </w:rPr>
        <w:t>intégre</w:t>
      </w:r>
      <w:r w:rsidR="00763115">
        <w:rPr>
          <w:rFonts w:ascii="Rockwell" w:hAnsi="Rockwell"/>
          <w:sz w:val="24"/>
          <w:szCs w:val="24"/>
        </w:rPr>
        <w:t xml:space="preserve">r </w:t>
      </w:r>
      <w:r w:rsidR="00763115" w:rsidRPr="00763115">
        <w:rPr>
          <w:rFonts w:ascii="Rockwell" w:hAnsi="Rockwell"/>
          <w:sz w:val="24"/>
          <w:szCs w:val="24"/>
        </w:rPr>
        <w:t xml:space="preserve">les </w:t>
      </w:r>
      <w:r w:rsidR="00763115">
        <w:rPr>
          <w:rFonts w:ascii="Rockwell" w:hAnsi="Rockwell"/>
          <w:sz w:val="24"/>
          <w:szCs w:val="24"/>
        </w:rPr>
        <w:t xml:space="preserve">éléments de l’APD </w:t>
      </w:r>
      <w:r w:rsidR="00763115" w:rsidRPr="00763115">
        <w:rPr>
          <w:rFonts w:ascii="Rockwell" w:hAnsi="Rockwell"/>
          <w:sz w:val="24"/>
          <w:szCs w:val="24"/>
        </w:rPr>
        <w:t>lors de la passation, de l’exécution et du règlement de la commande publique</w:t>
      </w:r>
      <w:r w:rsidR="00763115">
        <w:rPr>
          <w:rFonts w:ascii="Rockwell" w:hAnsi="Rockwell"/>
          <w:sz w:val="24"/>
          <w:szCs w:val="24"/>
        </w:rPr>
        <w:t>.</w:t>
      </w:r>
    </w:p>
    <w:p w14:paraId="362C8F78" w14:textId="36E94516" w:rsidR="000D6D40" w:rsidRPr="000D6D40" w:rsidRDefault="000D6D40" w:rsidP="00E0012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D179F2">
        <w:rPr>
          <w:rFonts w:ascii="Rockwell" w:hAnsi="Rockwell"/>
          <w:b/>
          <w:bCs/>
          <w:sz w:val="24"/>
          <w:szCs w:val="24"/>
        </w:rPr>
        <w:t xml:space="preserve">Article </w:t>
      </w:r>
      <w:r>
        <w:rPr>
          <w:rFonts w:ascii="Rockwell" w:hAnsi="Rockwell"/>
          <w:b/>
          <w:bCs/>
          <w:sz w:val="24"/>
          <w:szCs w:val="24"/>
        </w:rPr>
        <w:t>12</w:t>
      </w:r>
      <w:r w:rsidRPr="00D179F2">
        <w:rPr>
          <w:rFonts w:ascii="Rockwell" w:hAnsi="Rockwell"/>
          <w:b/>
          <w:bCs/>
          <w:sz w:val="24"/>
          <w:szCs w:val="24"/>
        </w:rPr>
        <w:t> :</w:t>
      </w:r>
      <w:r w:rsidRPr="00D179F2">
        <w:rPr>
          <w:rFonts w:ascii="Rockwell" w:hAnsi="Rockwell"/>
          <w:sz w:val="24"/>
          <w:szCs w:val="24"/>
        </w:rPr>
        <w:t xml:space="preserve"> l</w:t>
      </w:r>
      <w:r>
        <w:rPr>
          <w:rFonts w:ascii="Rockwell" w:hAnsi="Rockwell"/>
          <w:sz w:val="24"/>
          <w:szCs w:val="24"/>
        </w:rPr>
        <w:t xml:space="preserve">’ajout d’un troisième alinéa pour renforcer le pouvoir </w:t>
      </w:r>
      <w:r w:rsidRPr="000D6D40">
        <w:rPr>
          <w:rFonts w:ascii="Rockwell" w:hAnsi="Rockwell"/>
          <w:sz w:val="24"/>
          <w:szCs w:val="24"/>
        </w:rPr>
        <w:t>disciplinaire et d’enquête</w:t>
      </w:r>
      <w:r>
        <w:rPr>
          <w:rFonts w:ascii="Rockwell" w:hAnsi="Rockwell"/>
          <w:sz w:val="24"/>
          <w:szCs w:val="24"/>
        </w:rPr>
        <w:t xml:space="preserve"> de l’ARCOP</w:t>
      </w:r>
      <w:r w:rsidR="0027798E">
        <w:rPr>
          <w:rFonts w:ascii="Rockwell" w:hAnsi="Rockwell"/>
          <w:sz w:val="24"/>
          <w:szCs w:val="24"/>
        </w:rPr>
        <w:t xml:space="preserve"> en lui accordant le pouvoir </w:t>
      </w:r>
      <w:r w:rsidR="0027798E" w:rsidRPr="00E72830">
        <w:rPr>
          <w:rFonts w:ascii="Rockwell" w:hAnsi="Rockwell"/>
          <w:sz w:val="24"/>
          <w:szCs w:val="24"/>
          <w:highlight w:val="yellow"/>
        </w:rPr>
        <w:t>d’inquisition</w:t>
      </w:r>
      <w:r>
        <w:rPr>
          <w:rFonts w:ascii="Rockwell" w:hAnsi="Rockwell"/>
          <w:sz w:val="24"/>
          <w:szCs w:val="24"/>
        </w:rPr>
        <w:t>.</w:t>
      </w:r>
      <w:r w:rsidR="00812FBE">
        <w:rPr>
          <w:rFonts w:ascii="Rockwell" w:hAnsi="Rockwell"/>
          <w:sz w:val="24"/>
          <w:szCs w:val="24"/>
        </w:rPr>
        <w:t xml:space="preserve"> Il </w:t>
      </w:r>
      <w:r>
        <w:rPr>
          <w:rFonts w:ascii="Rockwell" w:hAnsi="Rockwell"/>
          <w:sz w:val="24"/>
          <w:szCs w:val="24"/>
        </w:rPr>
        <w:t>s’agit de lui permettre d’</w:t>
      </w:r>
      <w:r w:rsidRPr="000D6D40">
        <w:rPr>
          <w:rFonts w:ascii="Rockwell" w:hAnsi="Rockwell"/>
          <w:sz w:val="24"/>
          <w:szCs w:val="24"/>
        </w:rPr>
        <w:t>accéder à toutes sources d'informations disponibles</w:t>
      </w:r>
      <w:r>
        <w:rPr>
          <w:rFonts w:ascii="Rockwell" w:hAnsi="Rockwell"/>
          <w:sz w:val="24"/>
          <w:szCs w:val="24"/>
        </w:rPr>
        <w:t xml:space="preserve"> s</w:t>
      </w:r>
      <w:r w:rsidRPr="000D6D40">
        <w:rPr>
          <w:rFonts w:ascii="Rockwell" w:hAnsi="Rockwell"/>
          <w:sz w:val="24"/>
          <w:szCs w:val="24"/>
        </w:rPr>
        <w:t>auf cas de secret relatif à la défense et à la sécurité nationale</w:t>
      </w:r>
      <w:r>
        <w:rPr>
          <w:rFonts w:ascii="Rockwell" w:hAnsi="Rockwell"/>
          <w:sz w:val="24"/>
          <w:szCs w:val="24"/>
        </w:rPr>
        <w:t>.</w:t>
      </w:r>
    </w:p>
    <w:p w14:paraId="251AB535" w14:textId="069028AF" w:rsidR="000D6D40" w:rsidRDefault="000D6D40" w:rsidP="00E77D89">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D179F2">
        <w:rPr>
          <w:rFonts w:ascii="Rockwell" w:hAnsi="Rockwell"/>
          <w:b/>
          <w:bCs/>
          <w:sz w:val="24"/>
          <w:szCs w:val="24"/>
        </w:rPr>
        <w:t xml:space="preserve">Article </w:t>
      </w:r>
      <w:r>
        <w:rPr>
          <w:rFonts w:ascii="Rockwell" w:hAnsi="Rockwell"/>
          <w:b/>
          <w:bCs/>
          <w:sz w:val="24"/>
          <w:szCs w:val="24"/>
        </w:rPr>
        <w:t>13</w:t>
      </w:r>
      <w:r w:rsidRPr="00D179F2">
        <w:rPr>
          <w:rFonts w:ascii="Rockwell" w:hAnsi="Rockwell"/>
          <w:b/>
          <w:bCs/>
          <w:sz w:val="24"/>
          <w:szCs w:val="24"/>
        </w:rPr>
        <w:t> :</w:t>
      </w:r>
      <w:r w:rsidRPr="00D179F2">
        <w:rPr>
          <w:rFonts w:ascii="Rockwell" w:hAnsi="Rockwell"/>
          <w:sz w:val="24"/>
          <w:szCs w:val="24"/>
        </w:rPr>
        <w:t xml:space="preserve"> l</w:t>
      </w:r>
      <w:r>
        <w:rPr>
          <w:rFonts w:ascii="Rockwell" w:hAnsi="Rockwell"/>
          <w:sz w:val="24"/>
          <w:szCs w:val="24"/>
        </w:rPr>
        <w:t>e nom du troisième organe de l’ARCOP est devenu « </w:t>
      </w:r>
      <w:r w:rsidR="00BD5EAA">
        <w:rPr>
          <w:rFonts w:ascii="Rockwell" w:hAnsi="Rockwell"/>
          <w:sz w:val="24"/>
          <w:szCs w:val="24"/>
        </w:rPr>
        <w:t xml:space="preserve">Organe de règlement des </w:t>
      </w:r>
      <w:r w:rsidR="00C74B0B">
        <w:rPr>
          <w:rFonts w:ascii="Rockwell" w:hAnsi="Rockwell"/>
          <w:sz w:val="24"/>
          <w:szCs w:val="24"/>
        </w:rPr>
        <w:t>différends</w:t>
      </w:r>
      <w:r>
        <w:rPr>
          <w:rFonts w:ascii="Rockwell" w:hAnsi="Rockwell"/>
          <w:sz w:val="24"/>
          <w:szCs w:val="24"/>
        </w:rPr>
        <w:t> » au lieu de « Instance de recours non juridictionnel »</w:t>
      </w:r>
      <w:r w:rsidR="0098687D">
        <w:rPr>
          <w:rFonts w:ascii="Rockwell" w:hAnsi="Rockwell"/>
          <w:sz w:val="24"/>
          <w:szCs w:val="24"/>
        </w:rPr>
        <w:t>. En effet, la réforme en cours prévoit que l’</w:t>
      </w:r>
      <w:r w:rsidR="00E77D89">
        <w:rPr>
          <w:rFonts w:ascii="Rockwell" w:hAnsi="Rockwell"/>
          <w:sz w:val="24"/>
          <w:szCs w:val="24"/>
        </w:rPr>
        <w:t xml:space="preserve">instance de </w:t>
      </w:r>
      <w:r w:rsidR="00E77D89">
        <w:rPr>
          <w:rFonts w:ascii="Rockwell" w:hAnsi="Rockwell"/>
          <w:sz w:val="24"/>
          <w:szCs w:val="24"/>
        </w:rPr>
        <w:lastRenderedPageBreak/>
        <w:t xml:space="preserve">recours </w:t>
      </w:r>
      <w:r w:rsidR="0098687D">
        <w:rPr>
          <w:rFonts w:ascii="Rockwell" w:hAnsi="Rockwell"/>
          <w:sz w:val="24"/>
          <w:szCs w:val="24"/>
        </w:rPr>
        <w:t>soit un</w:t>
      </w:r>
      <w:r w:rsidR="00E77D89">
        <w:rPr>
          <w:rFonts w:ascii="Rockwell" w:hAnsi="Rockwell"/>
          <w:sz w:val="24"/>
          <w:szCs w:val="24"/>
        </w:rPr>
        <w:t>e juridiction spécialisée</w:t>
      </w:r>
      <w:r w:rsidR="0098687D" w:rsidRPr="0098687D">
        <w:rPr>
          <w:rFonts w:ascii="Rockwell" w:hAnsi="Rockwell"/>
          <w:sz w:val="24"/>
          <w:szCs w:val="24"/>
        </w:rPr>
        <w:t> </w:t>
      </w:r>
      <w:r w:rsidR="0098687D">
        <w:rPr>
          <w:rFonts w:ascii="Rockwell" w:hAnsi="Rockwell"/>
          <w:sz w:val="24"/>
          <w:szCs w:val="24"/>
        </w:rPr>
        <w:t xml:space="preserve">en matière de litige et un organe de </w:t>
      </w:r>
      <w:r w:rsidR="00E77D89">
        <w:rPr>
          <w:rFonts w:ascii="Rockwell" w:hAnsi="Rockwell"/>
          <w:sz w:val="24"/>
          <w:szCs w:val="24"/>
        </w:rPr>
        <w:t>règlement</w:t>
      </w:r>
      <w:r w:rsidR="0098687D">
        <w:rPr>
          <w:rFonts w:ascii="Rockwell" w:hAnsi="Rockwell"/>
          <w:sz w:val="24"/>
          <w:szCs w:val="24"/>
        </w:rPr>
        <w:t xml:space="preserve"> non juridictionnel en matière de conciliation et de discipline.</w:t>
      </w:r>
      <w:r w:rsidR="00E77D89">
        <w:rPr>
          <w:rFonts w:ascii="Rockwell" w:hAnsi="Rockwell"/>
          <w:sz w:val="24"/>
          <w:szCs w:val="24"/>
        </w:rPr>
        <w:t xml:space="preserve"> </w:t>
      </w:r>
      <w:r w:rsidR="002016E1" w:rsidRPr="00E77D89">
        <w:rPr>
          <w:rFonts w:ascii="Rockwell" w:eastAsia="Arial" w:hAnsi="Rockwell" w:cs="Arial"/>
          <w:sz w:val="24"/>
          <w:szCs w:val="24"/>
        </w:rPr>
        <w:t xml:space="preserve">Ainsi ce changement de nom </w:t>
      </w:r>
      <w:r w:rsidR="0027798E">
        <w:rPr>
          <w:rFonts w:ascii="Rockwell" w:eastAsia="Arial" w:hAnsi="Rockwell" w:cs="Arial"/>
          <w:sz w:val="24"/>
          <w:szCs w:val="24"/>
        </w:rPr>
        <w:t>s’impose</w:t>
      </w:r>
      <w:r w:rsidR="00E77D89" w:rsidRPr="00E77D89">
        <w:rPr>
          <w:rFonts w:ascii="Rockwell" w:eastAsia="Arial" w:hAnsi="Rockwell" w:cs="Arial"/>
          <w:sz w:val="24"/>
          <w:szCs w:val="24"/>
        </w:rPr>
        <w:t>.</w:t>
      </w:r>
    </w:p>
    <w:p w14:paraId="788C093D" w14:textId="3C7F065D" w:rsidR="001F456C" w:rsidRPr="002303A2" w:rsidRDefault="001F456C" w:rsidP="002303A2">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1F456C">
        <w:rPr>
          <w:rFonts w:ascii="Rockwell" w:eastAsia="Arial" w:hAnsi="Rockwell" w:cs="Arial"/>
          <w:b/>
          <w:sz w:val="24"/>
          <w:szCs w:val="24"/>
        </w:rPr>
        <w:t xml:space="preserve">Article 21 </w:t>
      </w:r>
      <w:r w:rsidRPr="001F456C">
        <w:rPr>
          <w:rFonts w:ascii="Rockwell" w:eastAsia="Arial" w:hAnsi="Rockwell" w:cs="Arial"/>
          <w:sz w:val="24"/>
          <w:szCs w:val="24"/>
        </w:rPr>
        <w:t>(</w:t>
      </w:r>
      <w:r w:rsidR="003F05C6">
        <w:rPr>
          <w:rFonts w:ascii="Rockwell" w:eastAsia="Arial" w:hAnsi="Rockwell" w:cs="Arial"/>
          <w:b/>
          <w:bCs/>
          <w:sz w:val="24"/>
          <w:szCs w:val="24"/>
        </w:rPr>
        <w:t>ancien article</w:t>
      </w:r>
      <w:r w:rsidR="003F05C6">
        <w:rPr>
          <w:rFonts w:ascii="Rockwell" w:eastAsia="Arial" w:hAnsi="Rockwell" w:cs="Arial"/>
          <w:b/>
          <w:bCs/>
          <w:sz w:val="24"/>
          <w:szCs w:val="24"/>
        </w:rPr>
        <w:t xml:space="preserve"> </w:t>
      </w:r>
      <w:r>
        <w:rPr>
          <w:rFonts w:ascii="Rockwell" w:eastAsia="Arial" w:hAnsi="Rockwell" w:cs="Arial"/>
          <w:b/>
          <w:bCs/>
          <w:sz w:val="24"/>
          <w:szCs w:val="24"/>
        </w:rPr>
        <w:t>20</w:t>
      </w:r>
      <w:r w:rsidRPr="001F456C">
        <w:rPr>
          <w:rFonts w:ascii="Rockwell" w:eastAsia="Arial" w:hAnsi="Rockwell" w:cs="Arial"/>
          <w:sz w:val="24"/>
          <w:szCs w:val="24"/>
        </w:rPr>
        <w:t xml:space="preserve">) : la suppression de la date limite de publication des plans annuels de passation des marchés publics, cette date devant être précisée dans les textes </w:t>
      </w:r>
      <w:r w:rsidRPr="002303A2">
        <w:rPr>
          <w:rFonts w:ascii="Rockwell" w:eastAsia="Arial" w:hAnsi="Rockwell" w:cs="Arial"/>
          <w:sz w:val="24"/>
          <w:szCs w:val="24"/>
        </w:rPr>
        <w:t>d’application</w:t>
      </w:r>
      <w:r w:rsidR="00375A61" w:rsidRPr="002303A2">
        <w:rPr>
          <w:rFonts w:ascii="Rockwell" w:eastAsia="Arial" w:hAnsi="Rockwell" w:cs="Arial"/>
          <w:sz w:val="24"/>
          <w:szCs w:val="24"/>
        </w:rPr>
        <w:t>.</w:t>
      </w:r>
    </w:p>
    <w:p w14:paraId="3E06FC21" w14:textId="2273BD8C" w:rsidR="00D5360A" w:rsidRPr="002303A2" w:rsidRDefault="00375A61" w:rsidP="002303A2">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2303A2">
        <w:rPr>
          <w:rFonts w:ascii="Rockwell" w:eastAsia="Arial" w:hAnsi="Rockwell" w:cs="Arial"/>
          <w:b/>
          <w:sz w:val="24"/>
          <w:szCs w:val="24"/>
        </w:rPr>
        <w:t>Article 24</w:t>
      </w:r>
      <w:r w:rsidRPr="002303A2">
        <w:rPr>
          <w:rFonts w:ascii="Rockwell" w:eastAsia="Arial" w:hAnsi="Rockwell" w:cs="Arial"/>
          <w:sz w:val="24"/>
          <w:szCs w:val="24"/>
        </w:rPr>
        <w:t xml:space="preserve"> (</w:t>
      </w:r>
      <w:r w:rsidR="003F05C6">
        <w:rPr>
          <w:rFonts w:ascii="Rockwell" w:eastAsia="Arial" w:hAnsi="Rockwell" w:cs="Arial"/>
          <w:b/>
          <w:bCs/>
          <w:sz w:val="24"/>
          <w:szCs w:val="24"/>
        </w:rPr>
        <w:t xml:space="preserve">ancien article </w:t>
      </w:r>
      <w:r w:rsidRPr="002303A2">
        <w:rPr>
          <w:rFonts w:ascii="Rockwell" w:eastAsia="Arial" w:hAnsi="Rockwell" w:cs="Arial"/>
          <w:b/>
          <w:bCs/>
          <w:sz w:val="24"/>
          <w:szCs w:val="24"/>
        </w:rPr>
        <w:t>23 et 24</w:t>
      </w:r>
      <w:r w:rsidRPr="002303A2">
        <w:rPr>
          <w:rFonts w:ascii="Rockwell" w:eastAsia="Arial" w:hAnsi="Rockwell" w:cs="Arial"/>
          <w:sz w:val="24"/>
          <w:szCs w:val="24"/>
        </w:rPr>
        <w:t>) : la reformulation de dispositions pour prendre en compte également les prestations intellectuelles qui sont aussi concernées et la suppression de l’article 24 devenu sans objet.</w:t>
      </w:r>
    </w:p>
    <w:p w14:paraId="43C88BC8" w14:textId="173E9B8A" w:rsidR="00141100" w:rsidRPr="002303A2" w:rsidRDefault="00141100" w:rsidP="002303A2">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2303A2">
        <w:rPr>
          <w:rFonts w:ascii="Rockwell" w:eastAsia="Arial" w:hAnsi="Rockwell" w:cs="Arial"/>
          <w:b/>
          <w:bCs/>
          <w:sz w:val="24"/>
          <w:szCs w:val="24"/>
        </w:rPr>
        <w:t>Article 26 :</w:t>
      </w:r>
      <w:r w:rsidRPr="002303A2">
        <w:rPr>
          <w:rFonts w:ascii="Rockwell" w:eastAsia="Arial" w:hAnsi="Rockwell" w:cs="Arial"/>
          <w:sz w:val="24"/>
          <w:szCs w:val="24"/>
        </w:rPr>
        <w:t xml:space="preserve"> la réservation annuelle d’une proposition de marchés publics aux petites et moyennes entreprises (PME).</w:t>
      </w:r>
    </w:p>
    <w:p w14:paraId="719B0D80" w14:textId="3582BC48" w:rsidR="0062013C" w:rsidRDefault="00E77D89" w:rsidP="002303A2">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2303A2">
        <w:rPr>
          <w:rFonts w:ascii="Rockwell" w:eastAsia="Arial" w:hAnsi="Rockwell" w:cs="Arial"/>
          <w:b/>
          <w:bCs/>
          <w:sz w:val="24"/>
          <w:szCs w:val="24"/>
        </w:rPr>
        <w:t xml:space="preserve">Article </w:t>
      </w:r>
      <w:r w:rsidR="00AF4251" w:rsidRPr="002303A2">
        <w:rPr>
          <w:rFonts w:ascii="Rockwell" w:eastAsia="Arial" w:hAnsi="Rockwell" w:cs="Arial"/>
          <w:b/>
          <w:bCs/>
          <w:sz w:val="24"/>
          <w:szCs w:val="24"/>
        </w:rPr>
        <w:t xml:space="preserve">39 (ancien </w:t>
      </w:r>
      <w:r w:rsidR="000A0E72">
        <w:rPr>
          <w:rFonts w:ascii="Rockwell" w:eastAsia="Arial" w:hAnsi="Rockwell" w:cs="Arial"/>
          <w:b/>
          <w:bCs/>
          <w:sz w:val="24"/>
          <w:szCs w:val="24"/>
        </w:rPr>
        <w:t xml:space="preserve">article </w:t>
      </w:r>
      <w:r w:rsidR="00AF4251" w:rsidRPr="002303A2">
        <w:rPr>
          <w:rFonts w:ascii="Rockwell" w:eastAsia="Arial" w:hAnsi="Rockwell" w:cs="Arial"/>
          <w:b/>
          <w:bCs/>
          <w:sz w:val="24"/>
          <w:szCs w:val="24"/>
        </w:rPr>
        <w:t>37)</w:t>
      </w:r>
      <w:r w:rsidRPr="002303A2">
        <w:rPr>
          <w:rFonts w:ascii="Rockwell" w:eastAsia="Arial" w:hAnsi="Rockwell" w:cs="Arial"/>
          <w:b/>
          <w:bCs/>
          <w:sz w:val="24"/>
          <w:szCs w:val="24"/>
        </w:rPr>
        <w:t> :</w:t>
      </w:r>
      <w:r w:rsidRPr="002303A2">
        <w:rPr>
          <w:rFonts w:ascii="Rockwell" w:eastAsia="Arial" w:hAnsi="Rockwell" w:cs="Arial"/>
          <w:sz w:val="24"/>
          <w:szCs w:val="24"/>
        </w:rPr>
        <w:t xml:space="preserve"> </w:t>
      </w:r>
      <w:r w:rsidR="00BA0FAA" w:rsidRPr="002303A2">
        <w:rPr>
          <w:rFonts w:ascii="Rockwell" w:eastAsia="Arial" w:hAnsi="Rockwell" w:cs="Arial"/>
          <w:sz w:val="24"/>
          <w:szCs w:val="24"/>
        </w:rPr>
        <w:t>dans le p</w:t>
      </w:r>
      <w:r w:rsidR="00BA0FAA">
        <w:rPr>
          <w:rFonts w:ascii="Rockwell" w:eastAsia="Arial" w:hAnsi="Rockwell" w:cs="Arial"/>
          <w:sz w:val="24"/>
          <w:szCs w:val="24"/>
        </w:rPr>
        <w:t>remier alinéa, le terme « paiement » a été remplacé par « règlement ». Aussi, l’alinéa a été reformulé en vue de prendre en compte le</w:t>
      </w:r>
      <w:r w:rsidR="0062013C">
        <w:rPr>
          <w:rFonts w:ascii="Rockwell" w:eastAsia="Arial" w:hAnsi="Rockwell" w:cs="Arial"/>
          <w:sz w:val="24"/>
          <w:szCs w:val="24"/>
        </w:rPr>
        <w:t xml:space="preserve">s effets de la </w:t>
      </w:r>
      <w:r w:rsidR="00BA0FAA">
        <w:rPr>
          <w:rFonts w:ascii="Rockwell" w:eastAsia="Arial" w:hAnsi="Rockwell" w:cs="Arial"/>
          <w:sz w:val="24"/>
          <w:szCs w:val="24"/>
        </w:rPr>
        <w:t>juridiction spécialisée</w:t>
      </w:r>
      <w:r w:rsidRPr="00E77D89">
        <w:rPr>
          <w:rFonts w:ascii="Rockwell" w:eastAsia="Arial" w:hAnsi="Rockwell" w:cs="Arial"/>
          <w:sz w:val="24"/>
          <w:szCs w:val="24"/>
        </w:rPr>
        <w:t>.</w:t>
      </w:r>
    </w:p>
    <w:p w14:paraId="5C1F1637" w14:textId="3CAC4631" w:rsidR="000A0E72" w:rsidRDefault="00AF4251" w:rsidP="000A0E72">
      <w:pPr>
        <w:pStyle w:val="Paragraphedeliste"/>
        <w:spacing w:before="120" w:after="120" w:line="240" w:lineRule="auto"/>
        <w:contextualSpacing w:val="0"/>
        <w:jc w:val="both"/>
        <w:rPr>
          <w:rFonts w:ascii="Rockwell" w:eastAsia="Arial" w:hAnsi="Rockwell" w:cs="Arial"/>
          <w:sz w:val="24"/>
          <w:szCs w:val="24"/>
        </w:rPr>
      </w:pPr>
      <w:r>
        <w:rPr>
          <w:rFonts w:ascii="Rockwell" w:eastAsia="Arial" w:hAnsi="Rockwell" w:cs="Arial"/>
          <w:sz w:val="24"/>
          <w:szCs w:val="24"/>
        </w:rPr>
        <w:t xml:space="preserve">Deux </w:t>
      </w:r>
      <w:r w:rsidR="0062013C" w:rsidRPr="0062013C">
        <w:rPr>
          <w:rFonts w:ascii="Rockwell" w:eastAsia="Arial" w:hAnsi="Rockwell" w:cs="Arial"/>
          <w:sz w:val="24"/>
          <w:szCs w:val="24"/>
        </w:rPr>
        <w:t>nouve</w:t>
      </w:r>
      <w:r>
        <w:rPr>
          <w:rFonts w:ascii="Rockwell" w:eastAsia="Arial" w:hAnsi="Rockwell" w:cs="Arial"/>
          <w:sz w:val="24"/>
          <w:szCs w:val="24"/>
        </w:rPr>
        <w:t>aux</w:t>
      </w:r>
      <w:r w:rsidR="0062013C" w:rsidRPr="0062013C">
        <w:rPr>
          <w:rFonts w:ascii="Rockwell" w:eastAsia="Arial" w:hAnsi="Rockwell" w:cs="Arial"/>
          <w:sz w:val="24"/>
          <w:szCs w:val="24"/>
        </w:rPr>
        <w:t xml:space="preserve"> alinéa</w:t>
      </w:r>
      <w:r>
        <w:rPr>
          <w:rFonts w:ascii="Rockwell" w:eastAsia="Arial" w:hAnsi="Rockwell" w:cs="Arial"/>
          <w:sz w:val="24"/>
          <w:szCs w:val="24"/>
        </w:rPr>
        <w:t>s</w:t>
      </w:r>
      <w:r w:rsidR="0062013C" w:rsidRPr="0062013C">
        <w:rPr>
          <w:rFonts w:ascii="Rockwell" w:eastAsia="Arial" w:hAnsi="Rockwell" w:cs="Arial"/>
          <w:sz w:val="24"/>
          <w:szCs w:val="24"/>
        </w:rPr>
        <w:t xml:space="preserve"> </w:t>
      </w:r>
      <w:r>
        <w:rPr>
          <w:rFonts w:ascii="Rockwell" w:eastAsia="Arial" w:hAnsi="Rockwell" w:cs="Arial"/>
          <w:sz w:val="24"/>
          <w:szCs w:val="24"/>
        </w:rPr>
        <w:t>ont</w:t>
      </w:r>
      <w:r w:rsidR="0062013C" w:rsidRPr="0062013C">
        <w:rPr>
          <w:rFonts w:ascii="Rockwell" w:eastAsia="Arial" w:hAnsi="Rockwell" w:cs="Arial"/>
          <w:sz w:val="24"/>
          <w:szCs w:val="24"/>
        </w:rPr>
        <w:t xml:space="preserve"> été ajouté</w:t>
      </w:r>
      <w:r>
        <w:rPr>
          <w:rFonts w:ascii="Rockwell" w:eastAsia="Arial" w:hAnsi="Rockwell" w:cs="Arial"/>
          <w:sz w:val="24"/>
          <w:szCs w:val="24"/>
        </w:rPr>
        <w:t>s</w:t>
      </w:r>
      <w:r w:rsidR="0062013C" w:rsidRPr="0062013C">
        <w:rPr>
          <w:rFonts w:ascii="Rockwell" w:eastAsia="Arial" w:hAnsi="Rockwell" w:cs="Arial"/>
          <w:sz w:val="24"/>
          <w:szCs w:val="24"/>
        </w:rPr>
        <w:t xml:space="preserve"> pour affirmer la qualité de « juridiction spécialisée » </w:t>
      </w:r>
      <w:r>
        <w:rPr>
          <w:rFonts w:ascii="Rockwell" w:eastAsia="Arial" w:hAnsi="Rockwell" w:cs="Arial"/>
          <w:sz w:val="24"/>
          <w:szCs w:val="24"/>
        </w:rPr>
        <w:t xml:space="preserve">de l’organe de règlement des différends </w:t>
      </w:r>
      <w:r w:rsidR="0062013C" w:rsidRPr="0062013C">
        <w:rPr>
          <w:rFonts w:ascii="Rockwell" w:eastAsia="Arial" w:hAnsi="Rockwell" w:cs="Arial"/>
          <w:sz w:val="24"/>
          <w:szCs w:val="24"/>
        </w:rPr>
        <w:t>en matière de litige</w:t>
      </w:r>
      <w:r w:rsidR="002303A2">
        <w:rPr>
          <w:rFonts w:ascii="Rockwell" w:eastAsia="Arial" w:hAnsi="Rockwell" w:cs="Arial"/>
          <w:sz w:val="24"/>
          <w:szCs w:val="24"/>
        </w:rPr>
        <w:t xml:space="preserve"> </w:t>
      </w:r>
      <w:r w:rsidR="008D5636">
        <w:rPr>
          <w:rFonts w:ascii="Rockwell" w:eastAsia="Arial" w:hAnsi="Rockwell" w:cs="Arial"/>
          <w:sz w:val="24"/>
          <w:szCs w:val="24"/>
        </w:rPr>
        <w:t>relatif aux</w:t>
      </w:r>
      <w:r w:rsidR="002303A2">
        <w:rPr>
          <w:rFonts w:ascii="Rockwell" w:eastAsia="Arial" w:hAnsi="Rockwell" w:cs="Arial"/>
          <w:sz w:val="24"/>
          <w:szCs w:val="24"/>
        </w:rPr>
        <w:t xml:space="preserve"> marchés publics</w:t>
      </w:r>
      <w:r>
        <w:rPr>
          <w:rFonts w:ascii="Rockwell" w:eastAsia="Arial" w:hAnsi="Rockwell" w:cs="Arial"/>
          <w:sz w:val="24"/>
          <w:szCs w:val="24"/>
        </w:rPr>
        <w:t>.</w:t>
      </w:r>
      <w:r w:rsidR="008D5636">
        <w:rPr>
          <w:rFonts w:ascii="Rockwell" w:eastAsia="Arial" w:hAnsi="Rockwell" w:cs="Arial"/>
          <w:sz w:val="24"/>
          <w:szCs w:val="24"/>
        </w:rPr>
        <w:t xml:space="preserve"> </w:t>
      </w:r>
      <w:r w:rsidR="008D5636" w:rsidRPr="008D5636">
        <w:rPr>
          <w:rFonts w:ascii="Rockwell" w:eastAsia="Arial" w:hAnsi="Rockwell" w:cs="Arial"/>
          <w:sz w:val="24"/>
          <w:szCs w:val="24"/>
        </w:rPr>
        <w:t>En ce cas, il statue en premier et dernier ressort.</w:t>
      </w:r>
      <w:r>
        <w:rPr>
          <w:rFonts w:ascii="Rockwell" w:eastAsia="Arial" w:hAnsi="Rockwell" w:cs="Arial"/>
          <w:sz w:val="24"/>
          <w:szCs w:val="24"/>
        </w:rPr>
        <w:t xml:space="preserve"> Dans les autres cas</w:t>
      </w:r>
      <w:r w:rsidR="00833E64">
        <w:rPr>
          <w:rFonts w:ascii="Rockwell" w:eastAsia="Arial" w:hAnsi="Rockwell" w:cs="Arial"/>
          <w:sz w:val="24"/>
          <w:szCs w:val="24"/>
        </w:rPr>
        <w:t xml:space="preserve"> (</w:t>
      </w:r>
      <w:r w:rsidR="00833E64" w:rsidRPr="00833E64">
        <w:rPr>
          <w:rFonts w:ascii="Rockwell" w:eastAsia="Arial" w:hAnsi="Rockwell" w:cs="Arial"/>
          <w:sz w:val="24"/>
          <w:szCs w:val="24"/>
        </w:rPr>
        <w:t xml:space="preserve">conciliation, discipline et litige </w:t>
      </w:r>
      <w:r w:rsidR="00833E64">
        <w:rPr>
          <w:rFonts w:ascii="Rockwell" w:eastAsia="Arial" w:hAnsi="Rockwell" w:cs="Arial"/>
          <w:sz w:val="24"/>
          <w:szCs w:val="24"/>
        </w:rPr>
        <w:t xml:space="preserve">relatif aux </w:t>
      </w:r>
      <w:r w:rsidR="00833E64" w:rsidRPr="00833E64">
        <w:rPr>
          <w:rFonts w:ascii="Rockwell" w:eastAsia="Arial" w:hAnsi="Rockwell" w:cs="Arial"/>
          <w:sz w:val="24"/>
          <w:szCs w:val="24"/>
        </w:rPr>
        <w:t>PPP</w:t>
      </w:r>
      <w:r w:rsidR="00833E64">
        <w:rPr>
          <w:rFonts w:ascii="Rockwell" w:eastAsia="Arial" w:hAnsi="Rockwell" w:cs="Arial"/>
          <w:sz w:val="24"/>
          <w:szCs w:val="24"/>
        </w:rPr>
        <w:t>)</w:t>
      </w:r>
      <w:r>
        <w:rPr>
          <w:rFonts w:ascii="Rockwell" w:eastAsia="Arial" w:hAnsi="Rockwell" w:cs="Arial"/>
          <w:sz w:val="24"/>
          <w:szCs w:val="24"/>
        </w:rPr>
        <w:t>, il s’agit d’un</w:t>
      </w:r>
      <w:r w:rsidR="0062013C">
        <w:rPr>
          <w:rFonts w:ascii="Rockwell" w:eastAsia="Arial" w:hAnsi="Rockwell" w:cs="Arial"/>
          <w:sz w:val="24"/>
          <w:szCs w:val="24"/>
        </w:rPr>
        <w:t xml:space="preserve"> « </w:t>
      </w:r>
      <w:r w:rsidR="0062013C" w:rsidRPr="0062013C">
        <w:rPr>
          <w:rFonts w:ascii="Rockwell" w:eastAsia="Arial" w:hAnsi="Rockwell" w:cs="Arial"/>
          <w:sz w:val="24"/>
          <w:szCs w:val="24"/>
        </w:rPr>
        <w:t>organe de règlement non juridictionnel des différends</w:t>
      </w:r>
      <w:r w:rsidR="0062013C">
        <w:rPr>
          <w:rFonts w:ascii="Rockwell" w:eastAsia="Arial" w:hAnsi="Rockwell" w:cs="Arial"/>
          <w:sz w:val="24"/>
          <w:szCs w:val="24"/>
        </w:rPr>
        <w:t> ».</w:t>
      </w:r>
    </w:p>
    <w:p w14:paraId="22CD4712" w14:textId="77777777" w:rsidR="000A0E72" w:rsidRDefault="000A0E72" w:rsidP="000A0E72">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2303A2">
        <w:rPr>
          <w:rFonts w:ascii="Rockwell" w:eastAsia="Arial" w:hAnsi="Rockwell" w:cs="Arial"/>
          <w:b/>
          <w:bCs/>
          <w:sz w:val="24"/>
          <w:szCs w:val="24"/>
        </w:rPr>
        <w:t xml:space="preserve">Article </w:t>
      </w:r>
      <w:r>
        <w:rPr>
          <w:rFonts w:ascii="Rockwell" w:eastAsia="Arial" w:hAnsi="Rockwell" w:cs="Arial"/>
          <w:b/>
          <w:bCs/>
          <w:sz w:val="24"/>
          <w:szCs w:val="24"/>
        </w:rPr>
        <w:t>40</w:t>
      </w:r>
      <w:r w:rsidRPr="002303A2">
        <w:rPr>
          <w:rFonts w:ascii="Rockwell" w:eastAsia="Arial" w:hAnsi="Rockwell" w:cs="Arial"/>
          <w:b/>
          <w:bCs/>
          <w:sz w:val="24"/>
          <w:szCs w:val="24"/>
        </w:rPr>
        <w:t xml:space="preserve"> (</w:t>
      </w:r>
      <w:r>
        <w:rPr>
          <w:rFonts w:ascii="Rockwell" w:eastAsia="Arial" w:hAnsi="Rockwell" w:cs="Arial"/>
          <w:b/>
          <w:bCs/>
          <w:sz w:val="24"/>
          <w:szCs w:val="24"/>
        </w:rPr>
        <w:t>nouveau</w:t>
      </w:r>
      <w:r w:rsidRPr="002303A2">
        <w:rPr>
          <w:rFonts w:ascii="Rockwell" w:eastAsia="Arial" w:hAnsi="Rockwell" w:cs="Arial"/>
          <w:b/>
          <w:bCs/>
          <w:sz w:val="24"/>
          <w:szCs w:val="24"/>
        </w:rPr>
        <w:t>) :</w:t>
      </w:r>
      <w:r>
        <w:rPr>
          <w:rFonts w:ascii="Rockwell" w:eastAsia="Arial" w:hAnsi="Rockwell" w:cs="Arial"/>
          <w:sz w:val="24"/>
          <w:szCs w:val="24"/>
        </w:rPr>
        <w:t xml:space="preserve"> </w:t>
      </w:r>
      <w:r w:rsidRPr="000A0E72">
        <w:rPr>
          <w:rFonts w:ascii="Rockwell" w:eastAsia="Arial" w:hAnsi="Rockwell" w:cs="Arial"/>
          <w:sz w:val="24"/>
          <w:szCs w:val="24"/>
        </w:rPr>
        <w:t>Un nouvel a été ajouté pour prendre en compte l’assistance des parties devant l’ORD par des conseils</w:t>
      </w:r>
      <w:r>
        <w:rPr>
          <w:rFonts w:ascii="Rockwell" w:eastAsia="Arial" w:hAnsi="Rockwell" w:cs="Arial"/>
          <w:sz w:val="24"/>
          <w:szCs w:val="24"/>
        </w:rPr>
        <w:t>.</w:t>
      </w:r>
    </w:p>
    <w:p w14:paraId="317C82FF" w14:textId="77777777" w:rsidR="00833E64" w:rsidRDefault="000A0E72" w:rsidP="00833E64">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0A0E72">
        <w:rPr>
          <w:rFonts w:ascii="Rockwell" w:eastAsia="Arial" w:hAnsi="Rockwell" w:cs="Arial"/>
          <w:b/>
          <w:bCs/>
          <w:sz w:val="24"/>
          <w:szCs w:val="24"/>
        </w:rPr>
        <w:t xml:space="preserve">Article </w:t>
      </w:r>
      <w:r>
        <w:rPr>
          <w:rFonts w:ascii="Rockwell" w:eastAsia="Arial" w:hAnsi="Rockwell" w:cs="Arial"/>
          <w:b/>
          <w:bCs/>
          <w:sz w:val="24"/>
          <w:szCs w:val="24"/>
        </w:rPr>
        <w:t xml:space="preserve">42 </w:t>
      </w:r>
      <w:r w:rsidRPr="002303A2">
        <w:rPr>
          <w:rFonts w:ascii="Rockwell" w:eastAsia="Arial" w:hAnsi="Rockwell" w:cs="Arial"/>
          <w:b/>
          <w:bCs/>
          <w:sz w:val="24"/>
          <w:szCs w:val="24"/>
        </w:rPr>
        <w:t xml:space="preserve">(ancien </w:t>
      </w:r>
      <w:r>
        <w:rPr>
          <w:rFonts w:ascii="Rockwell" w:eastAsia="Arial" w:hAnsi="Rockwell" w:cs="Arial"/>
          <w:b/>
          <w:bCs/>
          <w:sz w:val="24"/>
          <w:szCs w:val="24"/>
        </w:rPr>
        <w:t xml:space="preserve">article </w:t>
      </w:r>
      <w:r w:rsidRPr="002303A2">
        <w:rPr>
          <w:rFonts w:ascii="Rockwell" w:eastAsia="Arial" w:hAnsi="Rockwell" w:cs="Arial"/>
          <w:b/>
          <w:bCs/>
          <w:sz w:val="24"/>
          <w:szCs w:val="24"/>
        </w:rPr>
        <w:t>3</w:t>
      </w:r>
      <w:r>
        <w:rPr>
          <w:rFonts w:ascii="Rockwell" w:eastAsia="Arial" w:hAnsi="Rockwell" w:cs="Arial"/>
          <w:b/>
          <w:bCs/>
          <w:sz w:val="24"/>
          <w:szCs w:val="24"/>
        </w:rPr>
        <w:t>9</w:t>
      </w:r>
      <w:r w:rsidRPr="002303A2">
        <w:rPr>
          <w:rFonts w:ascii="Rockwell" w:eastAsia="Arial" w:hAnsi="Rockwell" w:cs="Arial"/>
          <w:b/>
          <w:bCs/>
          <w:sz w:val="24"/>
          <w:szCs w:val="24"/>
        </w:rPr>
        <w:t>)</w:t>
      </w:r>
      <w:r w:rsidRPr="000A0E72">
        <w:rPr>
          <w:rFonts w:ascii="Rockwell" w:eastAsia="Arial" w:hAnsi="Rockwell" w:cs="Arial"/>
          <w:b/>
          <w:bCs/>
          <w:sz w:val="24"/>
          <w:szCs w:val="24"/>
        </w:rPr>
        <w:t> :</w:t>
      </w:r>
      <w:r w:rsidRPr="000A0E72">
        <w:rPr>
          <w:rFonts w:ascii="Rockwell" w:eastAsia="Arial" w:hAnsi="Rockwell" w:cs="Arial"/>
          <w:sz w:val="24"/>
          <w:szCs w:val="24"/>
        </w:rPr>
        <w:t xml:space="preserve"> le terme « instance de recours non juridictionnel des différends » a été remplacé par « organe de règlement des différends ».</w:t>
      </w:r>
    </w:p>
    <w:p w14:paraId="34D300DA" w14:textId="5C7428C3" w:rsidR="000A0E72" w:rsidRPr="00833E64" w:rsidRDefault="00833E64" w:rsidP="00833E64">
      <w:pPr>
        <w:pStyle w:val="Paragraphedeliste"/>
        <w:numPr>
          <w:ilvl w:val="0"/>
          <w:numId w:val="38"/>
        </w:numPr>
        <w:spacing w:before="120" w:after="120" w:line="240" w:lineRule="auto"/>
        <w:ind w:left="714" w:hanging="357"/>
        <w:contextualSpacing w:val="0"/>
        <w:jc w:val="both"/>
        <w:rPr>
          <w:rFonts w:ascii="Rockwell" w:eastAsia="Arial" w:hAnsi="Rockwell" w:cs="Arial"/>
          <w:sz w:val="24"/>
          <w:szCs w:val="24"/>
        </w:rPr>
      </w:pPr>
      <w:r w:rsidRPr="00833E64">
        <w:rPr>
          <w:rFonts w:ascii="Rockwell" w:eastAsia="Arial" w:hAnsi="Rockwell" w:cs="Arial"/>
          <w:b/>
          <w:bCs/>
          <w:sz w:val="24"/>
          <w:szCs w:val="24"/>
        </w:rPr>
        <w:t>Article 4</w:t>
      </w:r>
      <w:r>
        <w:rPr>
          <w:rFonts w:ascii="Rockwell" w:eastAsia="Arial" w:hAnsi="Rockwell" w:cs="Arial"/>
          <w:b/>
          <w:bCs/>
          <w:sz w:val="24"/>
          <w:szCs w:val="24"/>
        </w:rPr>
        <w:t>3</w:t>
      </w:r>
      <w:r w:rsidRPr="00833E64">
        <w:rPr>
          <w:rFonts w:ascii="Rockwell" w:eastAsia="Arial" w:hAnsi="Rockwell" w:cs="Arial"/>
          <w:b/>
          <w:bCs/>
          <w:sz w:val="24"/>
          <w:szCs w:val="24"/>
        </w:rPr>
        <w:t> </w:t>
      </w:r>
      <w:r w:rsidR="00035892" w:rsidRPr="002303A2">
        <w:rPr>
          <w:rFonts w:ascii="Rockwell" w:eastAsia="Arial" w:hAnsi="Rockwell" w:cs="Arial"/>
          <w:b/>
          <w:bCs/>
          <w:sz w:val="24"/>
          <w:szCs w:val="24"/>
        </w:rPr>
        <w:t xml:space="preserve">(ancien </w:t>
      </w:r>
      <w:r w:rsidR="00035892">
        <w:rPr>
          <w:rFonts w:ascii="Rockwell" w:eastAsia="Arial" w:hAnsi="Rockwell" w:cs="Arial"/>
          <w:b/>
          <w:bCs/>
          <w:sz w:val="24"/>
          <w:szCs w:val="24"/>
        </w:rPr>
        <w:t xml:space="preserve">article </w:t>
      </w:r>
      <w:r w:rsidR="00035892">
        <w:rPr>
          <w:rFonts w:ascii="Rockwell" w:eastAsia="Arial" w:hAnsi="Rockwell" w:cs="Arial"/>
          <w:b/>
          <w:bCs/>
          <w:sz w:val="24"/>
          <w:szCs w:val="24"/>
        </w:rPr>
        <w:t>40</w:t>
      </w:r>
      <w:r w:rsidR="00035892" w:rsidRPr="002303A2">
        <w:rPr>
          <w:rFonts w:ascii="Rockwell" w:eastAsia="Arial" w:hAnsi="Rockwell" w:cs="Arial"/>
          <w:b/>
          <w:bCs/>
          <w:sz w:val="24"/>
          <w:szCs w:val="24"/>
        </w:rPr>
        <w:t>)</w:t>
      </w:r>
      <w:r w:rsidR="00035892">
        <w:rPr>
          <w:rFonts w:ascii="Rockwell" w:eastAsia="Arial" w:hAnsi="Rockwell" w:cs="Arial"/>
          <w:b/>
          <w:bCs/>
          <w:sz w:val="24"/>
          <w:szCs w:val="24"/>
        </w:rPr>
        <w:t xml:space="preserve"> </w:t>
      </w:r>
      <w:r w:rsidRPr="00833E64">
        <w:rPr>
          <w:rFonts w:ascii="Rockwell" w:eastAsia="Arial" w:hAnsi="Rockwell" w:cs="Arial"/>
          <w:b/>
          <w:bCs/>
          <w:sz w:val="24"/>
          <w:szCs w:val="24"/>
        </w:rPr>
        <w:t xml:space="preserve">: </w:t>
      </w:r>
      <w:r w:rsidRPr="00833E64">
        <w:rPr>
          <w:rFonts w:ascii="Rockwell" w:eastAsia="Arial" w:hAnsi="Rockwell" w:cs="Arial"/>
          <w:sz w:val="24"/>
          <w:szCs w:val="24"/>
        </w:rPr>
        <w:t xml:space="preserve"> un alinéa a été ajouté pour permettre à l’ORD de statuer sur les irrégularités et violations relatives à la réglementation qu'il constate à l’occasion de l’examen des dossiers de demande de conciliation</w:t>
      </w:r>
      <w:r>
        <w:rPr>
          <w:rFonts w:ascii="Rockwell" w:eastAsia="Arial" w:hAnsi="Rockwell" w:cs="Arial"/>
          <w:sz w:val="24"/>
          <w:szCs w:val="24"/>
        </w:rPr>
        <w:t>.</w:t>
      </w:r>
    </w:p>
    <w:p w14:paraId="30D75472" w14:textId="4722E04E" w:rsidR="009A589F" w:rsidRDefault="00E313CF" w:rsidP="009A589F">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9A589F">
        <w:rPr>
          <w:rFonts w:ascii="Rockwell" w:eastAsia="Arial" w:hAnsi="Rockwell" w:cs="Arial"/>
          <w:b/>
          <w:bCs/>
          <w:sz w:val="24"/>
          <w:szCs w:val="24"/>
        </w:rPr>
        <w:t xml:space="preserve">Article 48 (ancien </w:t>
      </w:r>
      <w:r w:rsidR="00035892">
        <w:rPr>
          <w:rFonts w:ascii="Rockwell" w:eastAsia="Arial" w:hAnsi="Rockwell" w:cs="Arial"/>
          <w:b/>
          <w:bCs/>
          <w:sz w:val="24"/>
          <w:szCs w:val="24"/>
        </w:rPr>
        <w:t xml:space="preserve">article </w:t>
      </w:r>
      <w:r w:rsidR="00D27E61" w:rsidRPr="009A589F">
        <w:rPr>
          <w:rFonts w:ascii="Rockwell" w:eastAsia="Arial" w:hAnsi="Rockwell" w:cs="Arial"/>
          <w:b/>
          <w:bCs/>
          <w:sz w:val="24"/>
          <w:szCs w:val="24"/>
        </w:rPr>
        <w:t>44</w:t>
      </w:r>
      <w:r w:rsidRPr="009A589F">
        <w:rPr>
          <w:rFonts w:ascii="Rockwell" w:eastAsia="Arial" w:hAnsi="Rockwell" w:cs="Arial"/>
          <w:b/>
          <w:bCs/>
          <w:sz w:val="24"/>
          <w:szCs w:val="24"/>
        </w:rPr>
        <w:t xml:space="preserve">) : </w:t>
      </w:r>
      <w:r w:rsidRPr="009A589F">
        <w:rPr>
          <w:rFonts w:ascii="Rockwell" w:eastAsia="Arial" w:hAnsi="Rockwell" w:cs="Arial"/>
          <w:sz w:val="24"/>
          <w:szCs w:val="24"/>
        </w:rPr>
        <w:t>l</w:t>
      </w:r>
      <w:r w:rsidR="00D27E61" w:rsidRPr="009A589F">
        <w:rPr>
          <w:rFonts w:ascii="Rockwell" w:eastAsia="Arial" w:hAnsi="Rockwell" w:cs="Arial"/>
          <w:sz w:val="24"/>
          <w:szCs w:val="24"/>
        </w:rPr>
        <w:t>es décisions en matière de litige de l’ORD ne sont susceptible</w:t>
      </w:r>
      <w:r w:rsidR="00833E64">
        <w:rPr>
          <w:rFonts w:ascii="Rockwell" w:eastAsia="Arial" w:hAnsi="Rockwell" w:cs="Arial"/>
          <w:sz w:val="24"/>
          <w:szCs w:val="24"/>
        </w:rPr>
        <w:t>s</w:t>
      </w:r>
      <w:r w:rsidR="00D27E61" w:rsidRPr="009A589F">
        <w:rPr>
          <w:rFonts w:ascii="Rockwell" w:eastAsia="Arial" w:hAnsi="Rockwell" w:cs="Arial"/>
          <w:sz w:val="24"/>
          <w:szCs w:val="24"/>
        </w:rPr>
        <w:t xml:space="preserve"> de recours que devant le Conseil </w:t>
      </w:r>
      <w:r w:rsidR="00683D03">
        <w:rPr>
          <w:rFonts w:ascii="Rockwell" w:eastAsia="Arial" w:hAnsi="Rockwell" w:cs="Arial"/>
          <w:sz w:val="24"/>
          <w:szCs w:val="24"/>
        </w:rPr>
        <w:t xml:space="preserve">d’Etat </w:t>
      </w:r>
      <w:r w:rsidR="00D27E61" w:rsidRPr="009A589F">
        <w:rPr>
          <w:rFonts w:ascii="Rockwell" w:eastAsia="Arial" w:hAnsi="Rockwell" w:cs="Arial"/>
          <w:sz w:val="24"/>
          <w:szCs w:val="24"/>
        </w:rPr>
        <w:t xml:space="preserve">lorsqu’il s’agit de </w:t>
      </w:r>
      <w:r w:rsidRPr="009A589F">
        <w:rPr>
          <w:rFonts w:ascii="Rockwell" w:eastAsia="Arial" w:hAnsi="Rockwell" w:cs="Arial"/>
          <w:sz w:val="24"/>
          <w:szCs w:val="24"/>
        </w:rPr>
        <w:t>marché public</w:t>
      </w:r>
      <w:r w:rsidR="00D27E61" w:rsidRPr="009A589F">
        <w:rPr>
          <w:rFonts w:ascii="Rockwell" w:eastAsia="Arial" w:hAnsi="Rockwell" w:cs="Arial"/>
          <w:sz w:val="24"/>
          <w:szCs w:val="24"/>
        </w:rPr>
        <w:t>.</w:t>
      </w:r>
    </w:p>
    <w:p w14:paraId="5976FC66" w14:textId="4D48A876" w:rsidR="009A589F" w:rsidRDefault="00D6335A" w:rsidP="009A589F">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9A589F">
        <w:rPr>
          <w:rFonts w:ascii="Rockwell" w:eastAsia="Arial" w:hAnsi="Rockwell" w:cs="Arial"/>
          <w:b/>
          <w:bCs/>
          <w:sz w:val="24"/>
          <w:szCs w:val="24"/>
        </w:rPr>
        <w:t>Article 4</w:t>
      </w:r>
      <w:r w:rsidR="009A589F" w:rsidRPr="009A589F">
        <w:rPr>
          <w:rFonts w:ascii="Rockwell" w:eastAsia="Arial" w:hAnsi="Rockwell" w:cs="Arial"/>
          <w:b/>
          <w:bCs/>
          <w:sz w:val="24"/>
          <w:szCs w:val="24"/>
        </w:rPr>
        <w:t>9</w:t>
      </w:r>
      <w:r w:rsidRPr="009A589F">
        <w:rPr>
          <w:rFonts w:ascii="Rockwell" w:eastAsia="Arial" w:hAnsi="Rockwell" w:cs="Arial"/>
          <w:b/>
          <w:bCs/>
          <w:sz w:val="24"/>
          <w:szCs w:val="24"/>
        </w:rPr>
        <w:t> :</w:t>
      </w:r>
      <w:r w:rsidRPr="009A589F">
        <w:rPr>
          <w:rFonts w:ascii="Rockwell" w:eastAsia="Arial" w:hAnsi="Rockwell" w:cs="Arial"/>
          <w:sz w:val="24"/>
          <w:szCs w:val="24"/>
        </w:rPr>
        <w:t xml:space="preserve"> </w:t>
      </w:r>
      <w:r w:rsidR="009A589F" w:rsidRPr="009A589F">
        <w:rPr>
          <w:rFonts w:ascii="Rockwell" w:eastAsia="Arial" w:hAnsi="Rockwell" w:cs="Arial"/>
          <w:sz w:val="24"/>
          <w:szCs w:val="24"/>
        </w:rPr>
        <w:t>les décisions de l</w:t>
      </w:r>
      <w:r w:rsidRPr="009A589F">
        <w:rPr>
          <w:rFonts w:ascii="Rockwell" w:eastAsia="Arial" w:hAnsi="Rockwell" w:cs="Arial"/>
          <w:sz w:val="24"/>
          <w:szCs w:val="24"/>
        </w:rPr>
        <w:t>itige</w:t>
      </w:r>
      <w:r w:rsidR="009A589F" w:rsidRPr="009A589F">
        <w:rPr>
          <w:rFonts w:ascii="Rockwell" w:eastAsia="Arial" w:hAnsi="Rockwell" w:cs="Arial"/>
          <w:sz w:val="24"/>
          <w:szCs w:val="24"/>
        </w:rPr>
        <w:t xml:space="preserve"> de l’ORD en matière de marchés publics ne pas l’objet de </w:t>
      </w:r>
      <w:r w:rsidRPr="009A589F">
        <w:rPr>
          <w:rFonts w:ascii="Rockwell" w:eastAsia="Arial" w:hAnsi="Rockwell" w:cs="Arial"/>
          <w:sz w:val="24"/>
          <w:szCs w:val="24"/>
        </w:rPr>
        <w:t>recours en référé suspension</w:t>
      </w:r>
      <w:r w:rsidR="009A589F">
        <w:rPr>
          <w:rFonts w:ascii="Rockwell" w:eastAsia="Arial" w:hAnsi="Rockwell" w:cs="Arial"/>
          <w:sz w:val="24"/>
          <w:szCs w:val="24"/>
        </w:rPr>
        <w:t>.</w:t>
      </w:r>
    </w:p>
    <w:p w14:paraId="77739DD1" w14:textId="4DBDA2CE" w:rsidR="002D438F" w:rsidRDefault="002D438F" w:rsidP="009A589F">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9A589F">
        <w:rPr>
          <w:rFonts w:ascii="Rockwell" w:eastAsia="Arial" w:hAnsi="Rockwell" w:cs="Arial"/>
          <w:b/>
          <w:bCs/>
          <w:sz w:val="24"/>
          <w:szCs w:val="24"/>
        </w:rPr>
        <w:t xml:space="preserve">Article </w:t>
      </w:r>
      <w:r>
        <w:rPr>
          <w:rFonts w:ascii="Rockwell" w:eastAsia="Arial" w:hAnsi="Rockwell" w:cs="Arial"/>
          <w:b/>
          <w:bCs/>
          <w:sz w:val="24"/>
          <w:szCs w:val="24"/>
        </w:rPr>
        <w:t>50</w:t>
      </w:r>
      <w:r w:rsidRPr="009A589F">
        <w:rPr>
          <w:rFonts w:ascii="Rockwell" w:eastAsia="Arial" w:hAnsi="Rockwell" w:cs="Arial"/>
          <w:b/>
          <w:bCs/>
          <w:sz w:val="24"/>
          <w:szCs w:val="24"/>
        </w:rPr>
        <w:t> :</w:t>
      </w:r>
      <w:r w:rsidRPr="009A589F">
        <w:rPr>
          <w:rFonts w:ascii="Rockwell" w:eastAsia="Arial" w:hAnsi="Rockwell" w:cs="Arial"/>
          <w:sz w:val="24"/>
          <w:szCs w:val="24"/>
        </w:rPr>
        <w:t xml:space="preserve"> l</w:t>
      </w:r>
      <w:r>
        <w:rPr>
          <w:rFonts w:ascii="Rockwell" w:eastAsia="Arial" w:hAnsi="Rockwell" w:cs="Arial"/>
          <w:sz w:val="24"/>
          <w:szCs w:val="24"/>
        </w:rPr>
        <w:t>’harmonisation du délai de recours de l’ORD en matière de PPP avec celui de la loi PPP.</w:t>
      </w:r>
    </w:p>
    <w:p w14:paraId="1E76605E" w14:textId="7F30CE66" w:rsidR="00D20E3A" w:rsidRDefault="00AF73B7" w:rsidP="0040100A">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AF73B7">
        <w:rPr>
          <w:rFonts w:ascii="Rockwell" w:eastAsia="Arial" w:hAnsi="Rockwell" w:cs="Arial"/>
          <w:b/>
          <w:bCs/>
          <w:sz w:val="24"/>
          <w:szCs w:val="24"/>
        </w:rPr>
        <w:t xml:space="preserve">Article </w:t>
      </w:r>
      <w:r>
        <w:rPr>
          <w:rFonts w:ascii="Rockwell" w:eastAsia="Arial" w:hAnsi="Rockwell" w:cs="Arial"/>
          <w:b/>
          <w:bCs/>
          <w:sz w:val="24"/>
          <w:szCs w:val="24"/>
        </w:rPr>
        <w:t>5</w:t>
      </w:r>
      <w:r w:rsidR="00386FB3">
        <w:rPr>
          <w:rFonts w:ascii="Rockwell" w:eastAsia="Arial" w:hAnsi="Rockwell" w:cs="Arial"/>
          <w:b/>
          <w:bCs/>
          <w:sz w:val="24"/>
          <w:szCs w:val="24"/>
        </w:rPr>
        <w:t>6</w:t>
      </w:r>
      <w:r w:rsidR="00CA0A79">
        <w:rPr>
          <w:rFonts w:ascii="Rockwell" w:eastAsia="Arial" w:hAnsi="Rockwell" w:cs="Arial"/>
          <w:b/>
          <w:bCs/>
          <w:sz w:val="24"/>
          <w:szCs w:val="24"/>
        </w:rPr>
        <w:t xml:space="preserve"> point </w:t>
      </w:r>
      <w:r w:rsidR="00AF607B">
        <w:rPr>
          <w:rFonts w:ascii="Rockwell" w:eastAsia="Arial" w:hAnsi="Rockwell" w:cs="Arial"/>
          <w:b/>
          <w:bCs/>
          <w:sz w:val="24"/>
          <w:szCs w:val="24"/>
        </w:rPr>
        <w:t>8</w:t>
      </w:r>
      <w:r w:rsidR="00DF289C">
        <w:rPr>
          <w:rFonts w:ascii="Rockwell" w:eastAsia="Arial" w:hAnsi="Rockwell" w:cs="Arial"/>
          <w:b/>
          <w:bCs/>
          <w:sz w:val="24"/>
          <w:szCs w:val="24"/>
        </w:rPr>
        <w:t xml:space="preserve"> (ancien </w:t>
      </w:r>
      <w:r w:rsidR="003F05C6">
        <w:rPr>
          <w:rFonts w:ascii="Rockwell" w:eastAsia="Arial" w:hAnsi="Rockwell" w:cs="Arial"/>
          <w:b/>
          <w:bCs/>
          <w:sz w:val="24"/>
          <w:szCs w:val="24"/>
        </w:rPr>
        <w:t xml:space="preserve">article </w:t>
      </w:r>
      <w:r w:rsidR="00DF289C">
        <w:rPr>
          <w:rFonts w:ascii="Rockwell" w:eastAsia="Arial" w:hAnsi="Rockwell" w:cs="Arial"/>
          <w:b/>
          <w:bCs/>
          <w:sz w:val="24"/>
          <w:szCs w:val="24"/>
        </w:rPr>
        <w:t>50)</w:t>
      </w:r>
      <w:r w:rsidRPr="00AF73B7">
        <w:rPr>
          <w:rFonts w:ascii="Rockwell" w:eastAsia="Arial" w:hAnsi="Rockwell" w:cs="Arial"/>
          <w:b/>
          <w:bCs/>
          <w:sz w:val="24"/>
          <w:szCs w:val="24"/>
        </w:rPr>
        <w:t xml:space="preserve"> :</w:t>
      </w:r>
      <w:r w:rsidRPr="00AF73B7">
        <w:rPr>
          <w:rFonts w:ascii="Rockwell" w:eastAsia="Arial" w:hAnsi="Rockwell" w:cs="Arial"/>
          <w:sz w:val="24"/>
          <w:szCs w:val="24"/>
        </w:rPr>
        <w:t xml:space="preserve"> </w:t>
      </w:r>
    </w:p>
    <w:p w14:paraId="06F597A7" w14:textId="77777777" w:rsidR="00D20E3A" w:rsidRPr="00D20E3A" w:rsidRDefault="00AF73B7" w:rsidP="00D20E3A">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F73B7">
        <w:rPr>
          <w:rFonts w:ascii="Rockwell" w:eastAsia="Arial" w:hAnsi="Rockwell" w:cs="Arial"/>
          <w:sz w:val="24"/>
          <w:szCs w:val="24"/>
        </w:rPr>
        <w:t>l’ajout</w:t>
      </w:r>
      <w:proofErr w:type="gramEnd"/>
      <w:r w:rsidRPr="00AF73B7">
        <w:rPr>
          <w:rFonts w:ascii="Rockwell" w:eastAsia="Arial" w:hAnsi="Rockwell" w:cs="Arial"/>
          <w:sz w:val="24"/>
          <w:szCs w:val="24"/>
        </w:rPr>
        <w:t xml:space="preserve"> d’une </w:t>
      </w:r>
      <w:r w:rsidR="00AF607B">
        <w:rPr>
          <w:rFonts w:ascii="Rockwell" w:eastAsia="Arial" w:hAnsi="Rockwell" w:cs="Arial"/>
          <w:sz w:val="24"/>
          <w:szCs w:val="24"/>
        </w:rPr>
        <w:t>infraction suivie de sa peine</w:t>
      </w:r>
      <w:r w:rsidRPr="00AF73B7">
        <w:rPr>
          <w:rFonts w:ascii="Rockwell" w:eastAsia="Arial" w:hAnsi="Rockwell" w:cs="Arial"/>
          <w:sz w:val="24"/>
          <w:szCs w:val="24"/>
        </w:rPr>
        <w:t xml:space="preserve"> </w:t>
      </w:r>
      <w:r w:rsidR="00AF607B">
        <w:rPr>
          <w:rFonts w:ascii="Rockwell" w:eastAsia="Arial" w:hAnsi="Rockwell" w:cs="Arial"/>
          <w:sz w:val="24"/>
          <w:szCs w:val="24"/>
        </w:rPr>
        <w:t>pour sanctionner les acteurs auteur d’o</w:t>
      </w:r>
      <w:r w:rsidRPr="00AF73B7">
        <w:rPr>
          <w:rFonts w:ascii="Rockwell" w:eastAsia="Arial" w:hAnsi="Rockwell" w:cs="Arial"/>
          <w:iCs/>
          <w:sz w:val="24"/>
          <w:szCs w:val="24"/>
        </w:rPr>
        <w:t>bstacle</w:t>
      </w:r>
      <w:r w:rsidR="00284660">
        <w:rPr>
          <w:rFonts w:ascii="Rockwell" w:eastAsia="Arial" w:hAnsi="Rockwell" w:cs="Arial"/>
          <w:iCs/>
          <w:sz w:val="24"/>
          <w:szCs w:val="24"/>
        </w:rPr>
        <w:t>s</w:t>
      </w:r>
      <w:r w:rsidRPr="00AF73B7">
        <w:rPr>
          <w:rFonts w:ascii="Rockwell" w:eastAsia="Arial" w:hAnsi="Rockwell" w:cs="Arial"/>
          <w:iCs/>
          <w:sz w:val="24"/>
          <w:szCs w:val="24"/>
        </w:rPr>
        <w:t xml:space="preserve"> à l'exécution des missions d'enquêtes ou de discipline de l’ARCOP</w:t>
      </w:r>
      <w:r w:rsidR="00D20E3A">
        <w:rPr>
          <w:rFonts w:ascii="Rockwell" w:eastAsia="Arial" w:hAnsi="Rockwell" w:cs="Arial"/>
          <w:iCs/>
          <w:sz w:val="24"/>
          <w:szCs w:val="24"/>
        </w:rPr>
        <w:t> ;</w:t>
      </w:r>
    </w:p>
    <w:p w14:paraId="4B848114" w14:textId="45EDFCAB" w:rsidR="00AF73B7" w:rsidRPr="003C5386" w:rsidRDefault="00D20E3A" w:rsidP="00D20E3A">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F73B7">
        <w:rPr>
          <w:rFonts w:ascii="Rockwell" w:eastAsia="Arial" w:hAnsi="Rockwell" w:cs="Arial"/>
          <w:sz w:val="24"/>
          <w:szCs w:val="24"/>
        </w:rPr>
        <w:t>l’ajout</w:t>
      </w:r>
      <w:proofErr w:type="gramEnd"/>
      <w:r w:rsidRPr="00AF73B7">
        <w:rPr>
          <w:rFonts w:ascii="Rockwell" w:eastAsia="Arial" w:hAnsi="Rockwell" w:cs="Arial"/>
          <w:sz w:val="24"/>
          <w:szCs w:val="24"/>
        </w:rPr>
        <w:t xml:space="preserve"> d’une </w:t>
      </w:r>
      <w:r>
        <w:rPr>
          <w:rFonts w:ascii="Rockwell" w:eastAsia="Arial" w:hAnsi="Rockwell" w:cs="Arial"/>
          <w:sz w:val="24"/>
          <w:szCs w:val="24"/>
        </w:rPr>
        <w:t>infraction suivie de sa peine</w:t>
      </w:r>
      <w:r w:rsidRPr="00AF73B7">
        <w:rPr>
          <w:rFonts w:ascii="Rockwell" w:eastAsia="Arial" w:hAnsi="Rockwell" w:cs="Arial"/>
          <w:sz w:val="24"/>
          <w:szCs w:val="24"/>
        </w:rPr>
        <w:t xml:space="preserve"> </w:t>
      </w:r>
      <w:r>
        <w:rPr>
          <w:rFonts w:ascii="Rockwell" w:eastAsia="Arial" w:hAnsi="Rockwell" w:cs="Arial"/>
          <w:sz w:val="24"/>
          <w:szCs w:val="24"/>
        </w:rPr>
        <w:t>pour sanctionner les acteurs</w:t>
      </w:r>
      <w:r>
        <w:rPr>
          <w:rFonts w:ascii="Rockwell" w:eastAsia="Arial" w:hAnsi="Rockwell" w:cs="Arial"/>
          <w:sz w:val="24"/>
          <w:szCs w:val="24"/>
        </w:rPr>
        <w:t xml:space="preserve"> publi</w:t>
      </w:r>
      <w:r w:rsidR="006767A1">
        <w:rPr>
          <w:rFonts w:ascii="Rockwell" w:eastAsia="Arial" w:hAnsi="Rockwell" w:cs="Arial"/>
          <w:sz w:val="24"/>
          <w:szCs w:val="24"/>
        </w:rPr>
        <w:t>cs qui soustraient leurs acquisitions de biens et de services</w:t>
      </w:r>
      <w:r w:rsidRPr="006767A1">
        <w:rPr>
          <w:rFonts w:ascii="Rockwell" w:eastAsia="Arial" w:hAnsi="Rockwell" w:cs="Arial"/>
          <w:sz w:val="24"/>
          <w:szCs w:val="24"/>
        </w:rPr>
        <w:t xml:space="preserve"> aux dispositions de la règlementation de la commande publique</w:t>
      </w:r>
      <w:r w:rsidR="006767A1" w:rsidRPr="006767A1">
        <w:rPr>
          <w:rFonts w:ascii="Rockwell" w:eastAsia="Arial" w:hAnsi="Rockwell" w:cs="Arial"/>
          <w:sz w:val="24"/>
          <w:szCs w:val="24"/>
        </w:rPr>
        <w:t>.</w:t>
      </w:r>
    </w:p>
    <w:p w14:paraId="2D6F3D70" w14:textId="36627D94" w:rsidR="003C5386" w:rsidRDefault="003C5386" w:rsidP="003C538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9A589F">
        <w:rPr>
          <w:rFonts w:ascii="Rockwell" w:eastAsia="Arial" w:hAnsi="Rockwell" w:cs="Arial"/>
          <w:b/>
          <w:sz w:val="24"/>
          <w:szCs w:val="24"/>
        </w:rPr>
        <w:lastRenderedPageBreak/>
        <w:t xml:space="preserve">Article </w:t>
      </w:r>
      <w:r>
        <w:rPr>
          <w:rFonts w:ascii="Rockwell" w:eastAsia="Arial" w:hAnsi="Rockwell" w:cs="Arial"/>
          <w:b/>
          <w:sz w:val="24"/>
          <w:szCs w:val="24"/>
        </w:rPr>
        <w:t>58</w:t>
      </w:r>
      <w:r w:rsidRPr="009A589F">
        <w:rPr>
          <w:rFonts w:ascii="Rockwell" w:eastAsia="Arial" w:hAnsi="Rockwell" w:cs="Arial"/>
          <w:sz w:val="24"/>
          <w:szCs w:val="24"/>
        </w:rPr>
        <w:t xml:space="preserve"> : la </w:t>
      </w:r>
      <w:r>
        <w:rPr>
          <w:rFonts w:ascii="Rockwell" w:eastAsia="Arial" w:hAnsi="Rockwell" w:cs="Arial"/>
          <w:sz w:val="24"/>
          <w:szCs w:val="24"/>
        </w:rPr>
        <w:t xml:space="preserve">possibilité pour l’ORD de </w:t>
      </w:r>
      <w:r w:rsidRPr="009A589F">
        <w:rPr>
          <w:rFonts w:ascii="Rockwell" w:eastAsia="Arial" w:hAnsi="Rockwell" w:cs="Arial"/>
          <w:sz w:val="24"/>
          <w:szCs w:val="24"/>
        </w:rPr>
        <w:t>prononc</w:t>
      </w:r>
      <w:r>
        <w:rPr>
          <w:rFonts w:ascii="Rockwell" w:eastAsia="Arial" w:hAnsi="Rockwell" w:cs="Arial"/>
          <w:sz w:val="24"/>
          <w:szCs w:val="24"/>
        </w:rPr>
        <w:t xml:space="preserve">er des </w:t>
      </w:r>
      <w:r w:rsidRPr="009A589F">
        <w:rPr>
          <w:rFonts w:ascii="Rockwell" w:eastAsia="Arial" w:hAnsi="Rockwell" w:cs="Arial"/>
          <w:sz w:val="24"/>
          <w:szCs w:val="24"/>
        </w:rPr>
        <w:t xml:space="preserve">sanctions </w:t>
      </w:r>
      <w:r>
        <w:rPr>
          <w:rFonts w:ascii="Rockwell" w:eastAsia="Arial" w:hAnsi="Rockwell" w:cs="Arial"/>
          <w:sz w:val="24"/>
          <w:szCs w:val="24"/>
        </w:rPr>
        <w:t>en l’encontre d’</w:t>
      </w:r>
      <w:r w:rsidRPr="009A589F">
        <w:rPr>
          <w:rFonts w:ascii="Rockwell" w:eastAsia="Arial" w:hAnsi="Rockwell" w:cs="Arial"/>
          <w:sz w:val="24"/>
          <w:szCs w:val="24"/>
        </w:rPr>
        <w:t>agents publics et la précision des</w:t>
      </w:r>
      <w:r>
        <w:rPr>
          <w:rFonts w:ascii="Rockwell" w:eastAsia="Arial" w:hAnsi="Rockwell" w:cs="Arial"/>
          <w:sz w:val="24"/>
          <w:szCs w:val="24"/>
        </w:rPr>
        <w:t>dites</w:t>
      </w:r>
      <w:r w:rsidRPr="009A589F">
        <w:rPr>
          <w:rFonts w:ascii="Rockwell" w:eastAsia="Arial" w:hAnsi="Rockwell" w:cs="Arial"/>
          <w:sz w:val="24"/>
          <w:szCs w:val="24"/>
        </w:rPr>
        <w:t xml:space="preserve"> sanction</w:t>
      </w:r>
      <w:r>
        <w:rPr>
          <w:rFonts w:ascii="Rockwell" w:eastAsia="Arial" w:hAnsi="Rockwell" w:cs="Arial"/>
          <w:sz w:val="24"/>
          <w:szCs w:val="24"/>
        </w:rPr>
        <w:t>s.</w:t>
      </w:r>
    </w:p>
    <w:p w14:paraId="7B786E5A" w14:textId="7E5C4B4C" w:rsidR="00842BA9" w:rsidRPr="00842BA9" w:rsidRDefault="00842BA9" w:rsidP="003C538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842BA9">
        <w:rPr>
          <w:rFonts w:ascii="Rockwell" w:hAnsi="Rockwell"/>
          <w:b/>
          <w:sz w:val="24"/>
          <w:szCs w:val="24"/>
        </w:rPr>
        <w:t>Article 64</w:t>
      </w:r>
      <w:r w:rsidRPr="00842BA9">
        <w:rPr>
          <w:rFonts w:ascii="Rockwell" w:hAnsi="Rockwell"/>
          <w:sz w:val="24"/>
          <w:szCs w:val="24"/>
        </w:rPr>
        <w:t xml:space="preserve"> </w:t>
      </w:r>
      <w:r w:rsidRPr="00842BA9">
        <w:rPr>
          <w:rFonts w:ascii="Rockwell" w:hAnsi="Rockwell"/>
          <w:b/>
          <w:sz w:val="24"/>
          <w:szCs w:val="24"/>
        </w:rPr>
        <w:t>:</w:t>
      </w:r>
      <w:r>
        <w:rPr>
          <w:rFonts w:ascii="Rockwell" w:hAnsi="Rockwell"/>
          <w:sz w:val="24"/>
          <w:szCs w:val="24"/>
        </w:rPr>
        <w:t xml:space="preserve"> </w:t>
      </w:r>
      <w:r w:rsidR="003F21F2">
        <w:rPr>
          <w:rFonts w:ascii="Rockwell" w:eastAsia="Arial" w:hAnsi="Rockwell" w:cs="Arial"/>
          <w:sz w:val="24"/>
          <w:szCs w:val="24"/>
        </w:rPr>
        <w:t xml:space="preserve">la possibilité pour le </w:t>
      </w:r>
      <w:r w:rsidR="003F21F2" w:rsidRPr="003F21F2">
        <w:rPr>
          <w:rFonts w:ascii="Rockwell" w:eastAsia="Arial" w:hAnsi="Rockwell" w:cs="Arial"/>
          <w:sz w:val="24"/>
          <w:szCs w:val="24"/>
        </w:rPr>
        <w:t xml:space="preserve">Gouvernement </w:t>
      </w:r>
      <w:r w:rsidR="003F21F2">
        <w:rPr>
          <w:rFonts w:ascii="Rockwell" w:eastAsia="Arial" w:hAnsi="Rockwell" w:cs="Arial"/>
          <w:sz w:val="24"/>
          <w:szCs w:val="24"/>
        </w:rPr>
        <w:t xml:space="preserve">de prendre </w:t>
      </w:r>
      <w:r w:rsidR="003F21F2" w:rsidRPr="003F21F2">
        <w:rPr>
          <w:rFonts w:ascii="Rockwell" w:eastAsia="Arial" w:hAnsi="Rockwell" w:cs="Arial"/>
          <w:sz w:val="24"/>
          <w:szCs w:val="24"/>
        </w:rPr>
        <w:t xml:space="preserve">des textes spécifiques en matière de passation, d’exécution et de règlement des marchés publics en vue de faire face </w:t>
      </w:r>
      <w:r w:rsidR="003F21F2">
        <w:rPr>
          <w:rFonts w:ascii="Rockwell" w:eastAsia="Arial" w:hAnsi="Rockwell" w:cs="Arial"/>
          <w:sz w:val="24"/>
          <w:szCs w:val="24"/>
        </w:rPr>
        <w:t xml:space="preserve">aux </w:t>
      </w:r>
      <w:r w:rsidR="003F21F2" w:rsidRPr="003F21F2">
        <w:rPr>
          <w:rFonts w:ascii="Rockwell" w:eastAsia="Arial" w:hAnsi="Rockwell" w:cs="Arial"/>
          <w:sz w:val="24"/>
          <w:szCs w:val="24"/>
        </w:rPr>
        <w:t>situation</w:t>
      </w:r>
      <w:r w:rsidR="003F21F2">
        <w:rPr>
          <w:rFonts w:ascii="Rockwell" w:eastAsia="Arial" w:hAnsi="Rockwell" w:cs="Arial"/>
          <w:sz w:val="24"/>
          <w:szCs w:val="24"/>
        </w:rPr>
        <w:t>s</w:t>
      </w:r>
      <w:r w:rsidR="003F21F2" w:rsidRPr="003F21F2">
        <w:rPr>
          <w:rFonts w:ascii="Rockwell" w:eastAsia="Arial" w:hAnsi="Rockwell" w:cs="Arial"/>
          <w:sz w:val="24"/>
          <w:szCs w:val="24"/>
        </w:rPr>
        <w:t xml:space="preserve"> </w:t>
      </w:r>
      <w:r w:rsidR="003F21F2">
        <w:rPr>
          <w:rFonts w:ascii="Rockwell" w:eastAsia="Arial" w:hAnsi="Rockwell" w:cs="Arial"/>
          <w:sz w:val="24"/>
          <w:szCs w:val="24"/>
        </w:rPr>
        <w:t>de crise</w:t>
      </w:r>
      <w:r w:rsidRPr="003F21F2">
        <w:rPr>
          <w:rFonts w:ascii="Rockwell" w:eastAsia="Arial" w:hAnsi="Rockwell" w:cs="Arial"/>
          <w:sz w:val="24"/>
          <w:szCs w:val="24"/>
        </w:rPr>
        <w:t>.</w:t>
      </w:r>
    </w:p>
    <w:p w14:paraId="675B4E01" w14:textId="1A5ED253" w:rsidR="006B0EFE" w:rsidRDefault="00B1745A" w:rsidP="0040100A">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AF73B7">
        <w:rPr>
          <w:rFonts w:ascii="Rockwell" w:eastAsia="Arial" w:hAnsi="Rockwell" w:cs="Arial"/>
          <w:b/>
          <w:bCs/>
          <w:sz w:val="24"/>
          <w:szCs w:val="24"/>
        </w:rPr>
        <w:t xml:space="preserve">Article </w:t>
      </w:r>
      <w:r w:rsidR="006921AE">
        <w:rPr>
          <w:rFonts w:ascii="Rockwell" w:eastAsia="Arial" w:hAnsi="Rockwell" w:cs="Arial"/>
          <w:b/>
          <w:bCs/>
          <w:sz w:val="24"/>
          <w:szCs w:val="24"/>
        </w:rPr>
        <w:t>70</w:t>
      </w:r>
      <w:r w:rsidRPr="00AF73B7">
        <w:rPr>
          <w:rFonts w:ascii="Rockwell" w:eastAsia="Arial" w:hAnsi="Rockwell" w:cs="Arial"/>
          <w:b/>
          <w:bCs/>
          <w:sz w:val="24"/>
          <w:szCs w:val="24"/>
        </w:rPr>
        <w:t xml:space="preserve"> :</w:t>
      </w:r>
      <w:r w:rsidRPr="00AF73B7">
        <w:rPr>
          <w:rFonts w:ascii="Rockwell" w:eastAsia="Arial" w:hAnsi="Rockwell" w:cs="Arial"/>
          <w:sz w:val="24"/>
          <w:szCs w:val="24"/>
        </w:rPr>
        <w:t xml:space="preserve"> </w:t>
      </w:r>
      <w:r>
        <w:rPr>
          <w:rFonts w:ascii="Rockwell" w:eastAsia="Arial" w:hAnsi="Rockwell" w:cs="Arial"/>
          <w:sz w:val="24"/>
          <w:szCs w:val="24"/>
        </w:rPr>
        <w:t xml:space="preserve">l’ajout d’un </w:t>
      </w:r>
      <w:r w:rsidR="006B0EFE">
        <w:rPr>
          <w:rFonts w:ascii="Rockwell" w:eastAsia="Arial" w:hAnsi="Rockwell" w:cs="Arial"/>
          <w:sz w:val="24"/>
          <w:szCs w:val="24"/>
        </w:rPr>
        <w:t>nouvel</w:t>
      </w:r>
      <w:r>
        <w:rPr>
          <w:rFonts w:ascii="Rockwell" w:eastAsia="Arial" w:hAnsi="Rockwell" w:cs="Arial"/>
          <w:sz w:val="24"/>
          <w:szCs w:val="24"/>
        </w:rPr>
        <w:t xml:space="preserve"> article pour </w:t>
      </w:r>
      <w:r w:rsidR="006B0EFE">
        <w:rPr>
          <w:rFonts w:ascii="Rockwell" w:eastAsia="Arial" w:hAnsi="Rockwell" w:cs="Arial"/>
          <w:sz w:val="24"/>
          <w:szCs w:val="24"/>
        </w:rPr>
        <w:t xml:space="preserve">autoriser le port </w:t>
      </w:r>
      <w:r w:rsidR="006B0EFE" w:rsidRPr="006B0EFE">
        <w:rPr>
          <w:rFonts w:ascii="Rockwell" w:eastAsia="Arial" w:hAnsi="Rockwell" w:cs="Arial"/>
          <w:sz w:val="24"/>
          <w:szCs w:val="24"/>
        </w:rPr>
        <w:t>d’arme de poing</w:t>
      </w:r>
      <w:r w:rsidR="006B0EFE" w:rsidRPr="00AF73B7">
        <w:rPr>
          <w:rFonts w:ascii="Rockwell" w:eastAsia="Arial" w:hAnsi="Rockwell" w:cs="Arial"/>
          <w:sz w:val="24"/>
          <w:szCs w:val="24"/>
        </w:rPr>
        <w:t xml:space="preserve"> </w:t>
      </w:r>
      <w:r w:rsidR="006B0EFE">
        <w:rPr>
          <w:rFonts w:ascii="Rockwell" w:eastAsia="Arial" w:hAnsi="Rockwell" w:cs="Arial"/>
          <w:sz w:val="24"/>
          <w:szCs w:val="24"/>
        </w:rPr>
        <w:t>aux personnels de l’ARCOP et de la DG-CMEF.</w:t>
      </w:r>
    </w:p>
    <w:p w14:paraId="72259C72" w14:textId="71CFA1C8" w:rsidR="006921AE" w:rsidRDefault="006921AE" w:rsidP="00E00126">
      <w:pPr>
        <w:spacing w:before="120" w:after="120" w:line="240" w:lineRule="auto"/>
        <w:jc w:val="both"/>
        <w:rPr>
          <w:rFonts w:ascii="Rockwell" w:eastAsia="Arial" w:hAnsi="Rockwell" w:cs="Arial"/>
          <w:sz w:val="24"/>
          <w:szCs w:val="24"/>
        </w:rPr>
      </w:pPr>
    </w:p>
    <w:p w14:paraId="2C38ACE4" w14:textId="02E6BAB2" w:rsidR="00643BBE" w:rsidRPr="006B40E8" w:rsidRDefault="00643BBE" w:rsidP="00CD709C">
      <w:pPr>
        <w:tabs>
          <w:tab w:val="left" w:pos="6663"/>
        </w:tabs>
        <w:spacing w:before="120" w:after="120" w:line="240" w:lineRule="auto"/>
        <w:rPr>
          <w:rFonts w:ascii="Rockwell" w:eastAsia="Arial" w:hAnsi="Rockwell" w:cs="Arial"/>
          <w:b/>
          <w:sz w:val="24"/>
          <w:szCs w:val="24"/>
          <w:u w:val="single"/>
        </w:rPr>
      </w:pPr>
    </w:p>
    <w:sectPr w:rsidR="00643BBE" w:rsidRPr="006B40E8" w:rsidSect="00C02D73">
      <w:footerReference w:type="default" r:id="rId8"/>
      <w:pgSz w:w="11906" w:h="16838"/>
      <w:pgMar w:top="1418"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12D8D" w14:textId="77777777" w:rsidR="00B54435" w:rsidRDefault="00B54435" w:rsidP="00993683">
      <w:pPr>
        <w:spacing w:after="0" w:line="240" w:lineRule="auto"/>
      </w:pPr>
      <w:r>
        <w:separator/>
      </w:r>
    </w:p>
  </w:endnote>
  <w:endnote w:type="continuationSeparator" w:id="0">
    <w:p w14:paraId="4D48F157" w14:textId="77777777" w:rsidR="00B54435" w:rsidRDefault="00B54435" w:rsidP="0099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916173"/>
      <w:docPartObj>
        <w:docPartGallery w:val="Page Numbers (Bottom of Page)"/>
        <w:docPartUnique/>
      </w:docPartObj>
    </w:sdtPr>
    <w:sdtEndPr/>
    <w:sdtContent>
      <w:p w14:paraId="7C457E98" w14:textId="5A3319F2" w:rsidR="00B247D3" w:rsidRDefault="00B247D3">
        <w:pPr>
          <w:pStyle w:val="Pieddepage"/>
        </w:pPr>
        <w:r>
          <w:rPr>
            <w:noProof/>
          </w:rPr>
          <mc:AlternateContent>
            <mc:Choice Requires="wps">
              <w:drawing>
                <wp:anchor distT="0" distB="0" distL="114300" distR="114300" simplePos="0" relativeHeight="251659264" behindDoc="0" locked="0" layoutInCell="0" allowOverlap="1" wp14:anchorId="02BB6A6B" wp14:editId="0A3A5313">
                  <wp:simplePos x="0" y="0"/>
                  <wp:positionH relativeFrom="rightMargin">
                    <wp:posOffset>12138</wp:posOffset>
                  </wp:positionH>
                  <wp:positionV relativeFrom="bottomMargin">
                    <wp:posOffset>66134</wp:posOffset>
                  </wp:positionV>
                  <wp:extent cx="368300" cy="387714"/>
                  <wp:effectExtent l="0" t="0" r="1270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7714"/>
                          </a:xfrm>
                          <a:prstGeom prst="foldedCorner">
                            <a:avLst>
                              <a:gd name="adj" fmla="val 34560"/>
                            </a:avLst>
                          </a:prstGeom>
                          <a:solidFill>
                            <a:srgbClr val="FFFFFF"/>
                          </a:solidFill>
                          <a:ln w="3175">
                            <a:solidFill>
                              <a:srgbClr val="808080"/>
                            </a:solidFill>
                            <a:round/>
                            <a:headEnd/>
                            <a:tailEnd/>
                          </a:ln>
                        </wps:spPr>
                        <wps:txb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B6A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95pt;margin-top:5.2pt;width:29pt;height:30.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" o:allowincell="f" adj="14135" strokecolor="gray" strokeweight=".25pt">
                  <v:textbo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FBC43" w14:textId="77777777" w:rsidR="00B54435" w:rsidRDefault="00B54435" w:rsidP="00993683">
      <w:pPr>
        <w:spacing w:after="0" w:line="240" w:lineRule="auto"/>
      </w:pPr>
      <w:r>
        <w:separator/>
      </w:r>
    </w:p>
  </w:footnote>
  <w:footnote w:type="continuationSeparator" w:id="0">
    <w:p w14:paraId="67B7B14D" w14:textId="77777777" w:rsidR="00B54435" w:rsidRDefault="00B54435" w:rsidP="0099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E54143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4A3A7B"/>
    <w:multiLevelType w:val="hybridMultilevel"/>
    <w:tmpl w:val="874CF844"/>
    <w:lvl w:ilvl="0" w:tplc="BC324E8A">
      <w:start w:val="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F1DBA"/>
    <w:multiLevelType w:val="multilevel"/>
    <w:tmpl w:val="5D085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BA1EAB"/>
    <w:multiLevelType w:val="hybridMultilevel"/>
    <w:tmpl w:val="953A3AB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BEE6111"/>
    <w:multiLevelType w:val="hybridMultilevel"/>
    <w:tmpl w:val="3D74E42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DF63A55"/>
    <w:multiLevelType w:val="multilevel"/>
    <w:tmpl w:val="0010E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0045BA"/>
    <w:multiLevelType w:val="hybridMultilevel"/>
    <w:tmpl w:val="45AE80AA"/>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 w15:restartNumberingAfterBreak="0">
    <w:nsid w:val="0F335550"/>
    <w:multiLevelType w:val="hybridMultilevel"/>
    <w:tmpl w:val="49967696"/>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8" w15:restartNumberingAfterBreak="0">
    <w:nsid w:val="0FA727DD"/>
    <w:multiLevelType w:val="multilevel"/>
    <w:tmpl w:val="0E007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605473"/>
    <w:multiLevelType w:val="hybridMultilevel"/>
    <w:tmpl w:val="F37ED684"/>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0" w15:restartNumberingAfterBreak="0">
    <w:nsid w:val="1844105A"/>
    <w:multiLevelType w:val="hybridMultilevel"/>
    <w:tmpl w:val="F6DC006C"/>
    <w:lvl w:ilvl="0" w:tplc="3730BB5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C26477"/>
    <w:multiLevelType w:val="multilevel"/>
    <w:tmpl w:val="DF9E2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8503CE"/>
    <w:multiLevelType w:val="hybridMultilevel"/>
    <w:tmpl w:val="9A3C6D52"/>
    <w:lvl w:ilvl="0" w:tplc="1CBA89CA">
      <w:start w:val="2"/>
      <w:numFmt w:val="bullet"/>
      <w:lvlText w:val="-"/>
      <w:lvlJc w:val="left"/>
      <w:pPr>
        <w:ind w:left="1068" w:hanging="360"/>
      </w:pPr>
      <w:rPr>
        <w:rFonts w:ascii="Rockwell" w:eastAsia="Arial" w:hAnsi="Rockwel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BAD7B0F"/>
    <w:multiLevelType w:val="hybridMultilevel"/>
    <w:tmpl w:val="8810727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5C1F51"/>
    <w:multiLevelType w:val="hybridMultilevel"/>
    <w:tmpl w:val="4D504B74"/>
    <w:lvl w:ilvl="0" w:tplc="4008CD0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3C5F20"/>
    <w:multiLevelType w:val="hybridMultilevel"/>
    <w:tmpl w:val="1DEC5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806B0E"/>
    <w:multiLevelType w:val="hybridMultilevel"/>
    <w:tmpl w:val="A446BB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1E5515"/>
    <w:multiLevelType w:val="hybridMultilevel"/>
    <w:tmpl w:val="90188A34"/>
    <w:lvl w:ilvl="0" w:tplc="D90AE7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0C39A8"/>
    <w:multiLevelType w:val="hybridMultilevel"/>
    <w:tmpl w:val="35DED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E130C3"/>
    <w:multiLevelType w:val="hybridMultilevel"/>
    <w:tmpl w:val="E87A1236"/>
    <w:lvl w:ilvl="0" w:tplc="DE920206">
      <w:start w:val="5"/>
      <w:numFmt w:val="bullet"/>
      <w:lvlText w:val="-"/>
      <w:lvlJc w:val="left"/>
      <w:pPr>
        <w:ind w:left="720" w:hanging="360"/>
      </w:pPr>
      <w:rPr>
        <w:rFonts w:ascii="Rockwell" w:eastAsia="Calibri"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EC260A"/>
    <w:multiLevelType w:val="multilevel"/>
    <w:tmpl w:val="2DBCD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2" w15:restartNumberingAfterBreak="0">
    <w:nsid w:val="3D506030"/>
    <w:multiLevelType w:val="hybridMultilevel"/>
    <w:tmpl w:val="3790EE64"/>
    <w:lvl w:ilvl="0" w:tplc="6504DC86">
      <w:start w:val="5"/>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462D6B38"/>
    <w:multiLevelType w:val="hybridMultilevel"/>
    <w:tmpl w:val="0E68F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D7739F"/>
    <w:multiLevelType w:val="multilevel"/>
    <w:tmpl w:val="B48618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4929F9"/>
    <w:multiLevelType w:val="hybridMultilevel"/>
    <w:tmpl w:val="DE7CB74C"/>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79237B"/>
    <w:multiLevelType w:val="hybridMultilevel"/>
    <w:tmpl w:val="CAEC3B1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4D823CBC"/>
    <w:multiLevelType w:val="hybridMultilevel"/>
    <w:tmpl w:val="37B0BE6A"/>
    <w:lvl w:ilvl="0" w:tplc="701A2E9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C727F5"/>
    <w:multiLevelType w:val="hybridMultilevel"/>
    <w:tmpl w:val="5EBE1F3E"/>
    <w:lvl w:ilvl="0" w:tplc="6504DC86">
      <w:start w:val="5"/>
      <w:numFmt w:val="bullet"/>
      <w:lvlText w:val="-"/>
      <w:lvlJc w:val="left"/>
      <w:pPr>
        <w:ind w:left="1637"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A86C1A"/>
    <w:multiLevelType w:val="hybridMultilevel"/>
    <w:tmpl w:val="DF3E0D38"/>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0"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31" w15:restartNumberingAfterBreak="0">
    <w:nsid w:val="570B0FA0"/>
    <w:multiLevelType w:val="hybridMultilevel"/>
    <w:tmpl w:val="41CA4ED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09E5C13"/>
    <w:multiLevelType w:val="hybridMultilevel"/>
    <w:tmpl w:val="46161EFA"/>
    <w:lvl w:ilvl="0" w:tplc="0C2A1B30">
      <w:start w:val="1"/>
      <w:numFmt w:val="bullet"/>
      <w:lvlText w:val="-"/>
      <w:lvlJc w:val="left"/>
      <w:pPr>
        <w:ind w:left="360" w:hanging="360"/>
      </w:pPr>
      <w:rPr>
        <w:rFonts w:ascii="Rockwell" w:eastAsia="Times New Roman" w:hAnsi="Rockwell"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1A36CEF"/>
    <w:multiLevelType w:val="multilevel"/>
    <w:tmpl w:val="DBE691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EB1593"/>
    <w:multiLevelType w:val="hybridMultilevel"/>
    <w:tmpl w:val="B77245E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5" w15:restartNumberingAfterBreak="0">
    <w:nsid w:val="63F91557"/>
    <w:multiLevelType w:val="hybridMultilevel"/>
    <w:tmpl w:val="E226810C"/>
    <w:lvl w:ilvl="0" w:tplc="A4A0F7EA">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BE64F0"/>
    <w:multiLevelType w:val="hybridMultilevel"/>
    <w:tmpl w:val="09A2FB80"/>
    <w:lvl w:ilvl="0" w:tplc="5134C0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8321A4A"/>
    <w:multiLevelType w:val="multilevel"/>
    <w:tmpl w:val="936E4A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0E60207"/>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9" w15:restartNumberingAfterBreak="0">
    <w:nsid w:val="7346262A"/>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0" w15:restartNumberingAfterBreak="0">
    <w:nsid w:val="783F5757"/>
    <w:multiLevelType w:val="hybridMultilevel"/>
    <w:tmpl w:val="BCA0E4AA"/>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87C02DC"/>
    <w:multiLevelType w:val="hybridMultilevel"/>
    <w:tmpl w:val="68DADC26"/>
    <w:lvl w:ilvl="0" w:tplc="3730BB50">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9323882"/>
    <w:multiLevelType w:val="hybridMultilevel"/>
    <w:tmpl w:val="1CC61C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4638F9"/>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4" w15:restartNumberingAfterBreak="0">
    <w:nsid w:val="7BB820C0"/>
    <w:multiLevelType w:val="hybridMultilevel"/>
    <w:tmpl w:val="3CE8F7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D207E43"/>
    <w:multiLevelType w:val="hybridMultilevel"/>
    <w:tmpl w:val="5066DE4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7D487FB5"/>
    <w:multiLevelType w:val="hybridMultilevel"/>
    <w:tmpl w:val="25CEB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541901">
    <w:abstractNumId w:val="2"/>
  </w:num>
  <w:num w:numId="2" w16cid:durableId="1374622041">
    <w:abstractNumId w:val="5"/>
  </w:num>
  <w:num w:numId="3" w16cid:durableId="1066614047">
    <w:abstractNumId w:val="20"/>
  </w:num>
  <w:num w:numId="4" w16cid:durableId="7144053">
    <w:abstractNumId w:val="37"/>
  </w:num>
  <w:num w:numId="5" w16cid:durableId="783035197">
    <w:abstractNumId w:val="24"/>
  </w:num>
  <w:num w:numId="6" w16cid:durableId="1105229336">
    <w:abstractNumId w:val="33"/>
  </w:num>
  <w:num w:numId="7" w16cid:durableId="1738934409">
    <w:abstractNumId w:val="8"/>
  </w:num>
  <w:num w:numId="8" w16cid:durableId="156119654">
    <w:abstractNumId w:val="11"/>
  </w:num>
  <w:num w:numId="9" w16cid:durableId="887182015">
    <w:abstractNumId w:val="15"/>
  </w:num>
  <w:num w:numId="10" w16cid:durableId="2128814524">
    <w:abstractNumId w:val="0"/>
  </w:num>
  <w:num w:numId="11" w16cid:durableId="809325825">
    <w:abstractNumId w:val="18"/>
  </w:num>
  <w:num w:numId="12" w16cid:durableId="300615110">
    <w:abstractNumId w:val="13"/>
  </w:num>
  <w:num w:numId="13" w16cid:durableId="1749158725">
    <w:abstractNumId w:val="29"/>
  </w:num>
  <w:num w:numId="14" w16cid:durableId="1929924556">
    <w:abstractNumId w:val="6"/>
  </w:num>
  <w:num w:numId="15" w16cid:durableId="763302291">
    <w:abstractNumId w:val="7"/>
  </w:num>
  <w:num w:numId="16" w16cid:durableId="456027055">
    <w:abstractNumId w:val="1"/>
  </w:num>
  <w:num w:numId="17" w16cid:durableId="1798714759">
    <w:abstractNumId w:val="46"/>
  </w:num>
  <w:num w:numId="18" w16cid:durableId="83690874">
    <w:abstractNumId w:val="23"/>
  </w:num>
  <w:num w:numId="19" w16cid:durableId="600182717">
    <w:abstractNumId w:val="9"/>
  </w:num>
  <w:num w:numId="20" w16cid:durableId="1131290600">
    <w:abstractNumId w:val="17"/>
  </w:num>
  <w:num w:numId="21" w16cid:durableId="640691820">
    <w:abstractNumId w:val="30"/>
  </w:num>
  <w:num w:numId="22" w16cid:durableId="674649240">
    <w:abstractNumId w:val="22"/>
  </w:num>
  <w:num w:numId="23" w16cid:durableId="1297293574">
    <w:abstractNumId w:val="26"/>
  </w:num>
  <w:num w:numId="24" w16cid:durableId="1934849379">
    <w:abstractNumId w:val="12"/>
  </w:num>
  <w:num w:numId="25" w16cid:durableId="1763531277">
    <w:abstractNumId w:val="28"/>
  </w:num>
  <w:num w:numId="26" w16cid:durableId="2129658400">
    <w:abstractNumId w:val="36"/>
  </w:num>
  <w:num w:numId="27" w16cid:durableId="444926097">
    <w:abstractNumId w:val="19"/>
  </w:num>
  <w:num w:numId="28" w16cid:durableId="1982885332">
    <w:abstractNumId w:val="40"/>
  </w:num>
  <w:num w:numId="29" w16cid:durableId="431632207">
    <w:abstractNumId w:val="27"/>
  </w:num>
  <w:num w:numId="30" w16cid:durableId="1014768080">
    <w:abstractNumId w:val="21"/>
  </w:num>
  <w:num w:numId="31" w16cid:durableId="1971591353">
    <w:abstractNumId w:val="14"/>
  </w:num>
  <w:num w:numId="32" w16cid:durableId="267006477">
    <w:abstractNumId w:val="3"/>
  </w:num>
  <w:num w:numId="33" w16cid:durableId="193082468">
    <w:abstractNumId w:val="25"/>
  </w:num>
  <w:num w:numId="34" w16cid:durableId="1468744534">
    <w:abstractNumId w:val="42"/>
  </w:num>
  <w:num w:numId="35" w16cid:durableId="1233353625">
    <w:abstractNumId w:val="34"/>
  </w:num>
  <w:num w:numId="36" w16cid:durableId="1263608227">
    <w:abstractNumId w:val="39"/>
  </w:num>
  <w:num w:numId="37" w16cid:durableId="1944146329">
    <w:abstractNumId w:val="43"/>
  </w:num>
  <w:num w:numId="38" w16cid:durableId="213850830">
    <w:abstractNumId w:val="10"/>
  </w:num>
  <w:num w:numId="39" w16cid:durableId="1507087992">
    <w:abstractNumId w:val="41"/>
  </w:num>
  <w:num w:numId="40" w16cid:durableId="1959871810">
    <w:abstractNumId w:val="38"/>
  </w:num>
  <w:num w:numId="41" w16cid:durableId="781925129">
    <w:abstractNumId w:val="32"/>
  </w:num>
  <w:num w:numId="42" w16cid:durableId="127942840">
    <w:abstractNumId w:val="4"/>
  </w:num>
  <w:num w:numId="43" w16cid:durableId="177087676">
    <w:abstractNumId w:val="45"/>
  </w:num>
  <w:num w:numId="44" w16cid:durableId="515383944">
    <w:abstractNumId w:val="35"/>
  </w:num>
  <w:num w:numId="45" w16cid:durableId="1297879391">
    <w:abstractNumId w:val="16"/>
  </w:num>
  <w:num w:numId="46" w16cid:durableId="1555239225">
    <w:abstractNumId w:val="44"/>
  </w:num>
  <w:num w:numId="47" w16cid:durableId="8790525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C6"/>
    <w:rsid w:val="000032FD"/>
    <w:rsid w:val="000049D7"/>
    <w:rsid w:val="00004A35"/>
    <w:rsid w:val="00012A31"/>
    <w:rsid w:val="00013714"/>
    <w:rsid w:val="000148B4"/>
    <w:rsid w:val="00015392"/>
    <w:rsid w:val="00016150"/>
    <w:rsid w:val="000240B7"/>
    <w:rsid w:val="00024E89"/>
    <w:rsid w:val="0003036E"/>
    <w:rsid w:val="0003147B"/>
    <w:rsid w:val="0003489C"/>
    <w:rsid w:val="00035892"/>
    <w:rsid w:val="0003637E"/>
    <w:rsid w:val="0004032A"/>
    <w:rsid w:val="00043C42"/>
    <w:rsid w:val="00044797"/>
    <w:rsid w:val="0004654D"/>
    <w:rsid w:val="000468D5"/>
    <w:rsid w:val="0005056B"/>
    <w:rsid w:val="00050DE1"/>
    <w:rsid w:val="00051B4F"/>
    <w:rsid w:val="00053235"/>
    <w:rsid w:val="00055A2D"/>
    <w:rsid w:val="000562CC"/>
    <w:rsid w:val="000600F5"/>
    <w:rsid w:val="000610D4"/>
    <w:rsid w:val="0006138A"/>
    <w:rsid w:val="000614FD"/>
    <w:rsid w:val="00061AC3"/>
    <w:rsid w:val="0006331E"/>
    <w:rsid w:val="00065FD5"/>
    <w:rsid w:val="00070812"/>
    <w:rsid w:val="00070FD5"/>
    <w:rsid w:val="00071793"/>
    <w:rsid w:val="00071B58"/>
    <w:rsid w:val="0007299A"/>
    <w:rsid w:val="000730D6"/>
    <w:rsid w:val="00080D0E"/>
    <w:rsid w:val="0008130A"/>
    <w:rsid w:val="000822BB"/>
    <w:rsid w:val="00083472"/>
    <w:rsid w:val="00083E3A"/>
    <w:rsid w:val="0008419D"/>
    <w:rsid w:val="00084AF1"/>
    <w:rsid w:val="00091480"/>
    <w:rsid w:val="00091C1C"/>
    <w:rsid w:val="0009202A"/>
    <w:rsid w:val="00096429"/>
    <w:rsid w:val="000A0E72"/>
    <w:rsid w:val="000A1956"/>
    <w:rsid w:val="000A1FA8"/>
    <w:rsid w:val="000A24DF"/>
    <w:rsid w:val="000A4FCD"/>
    <w:rsid w:val="000A6E63"/>
    <w:rsid w:val="000B1757"/>
    <w:rsid w:val="000B3924"/>
    <w:rsid w:val="000B4F3C"/>
    <w:rsid w:val="000B5B77"/>
    <w:rsid w:val="000B7226"/>
    <w:rsid w:val="000C10A8"/>
    <w:rsid w:val="000C2362"/>
    <w:rsid w:val="000C3B90"/>
    <w:rsid w:val="000C5465"/>
    <w:rsid w:val="000C5735"/>
    <w:rsid w:val="000C5801"/>
    <w:rsid w:val="000C76F0"/>
    <w:rsid w:val="000D049A"/>
    <w:rsid w:val="000D2AA1"/>
    <w:rsid w:val="000D6D40"/>
    <w:rsid w:val="000E2674"/>
    <w:rsid w:val="000E2F66"/>
    <w:rsid w:val="000E4F01"/>
    <w:rsid w:val="000E5404"/>
    <w:rsid w:val="000F236D"/>
    <w:rsid w:val="000F400A"/>
    <w:rsid w:val="000F5960"/>
    <w:rsid w:val="000F68CA"/>
    <w:rsid w:val="000F7FFA"/>
    <w:rsid w:val="0010038B"/>
    <w:rsid w:val="001007D2"/>
    <w:rsid w:val="00100E1E"/>
    <w:rsid w:val="0010162F"/>
    <w:rsid w:val="00104E79"/>
    <w:rsid w:val="0010534E"/>
    <w:rsid w:val="00105DE0"/>
    <w:rsid w:val="00106A05"/>
    <w:rsid w:val="00106C53"/>
    <w:rsid w:val="00112EF2"/>
    <w:rsid w:val="001131C3"/>
    <w:rsid w:val="0011323A"/>
    <w:rsid w:val="00120502"/>
    <w:rsid w:val="001230D6"/>
    <w:rsid w:val="00124E13"/>
    <w:rsid w:val="00124EB6"/>
    <w:rsid w:val="00125878"/>
    <w:rsid w:val="00127DEC"/>
    <w:rsid w:val="00131A5B"/>
    <w:rsid w:val="00132DC4"/>
    <w:rsid w:val="00133A00"/>
    <w:rsid w:val="00141100"/>
    <w:rsid w:val="001427ED"/>
    <w:rsid w:val="001457A0"/>
    <w:rsid w:val="00145C0D"/>
    <w:rsid w:val="0014636C"/>
    <w:rsid w:val="0015350E"/>
    <w:rsid w:val="00153714"/>
    <w:rsid w:val="00154E5F"/>
    <w:rsid w:val="00157AF2"/>
    <w:rsid w:val="001616E7"/>
    <w:rsid w:val="00162DBF"/>
    <w:rsid w:val="00166A8B"/>
    <w:rsid w:val="001718CD"/>
    <w:rsid w:val="00171B24"/>
    <w:rsid w:val="00171D83"/>
    <w:rsid w:val="00174338"/>
    <w:rsid w:val="00174880"/>
    <w:rsid w:val="001817D5"/>
    <w:rsid w:val="00183A6E"/>
    <w:rsid w:val="00184640"/>
    <w:rsid w:val="00184C8E"/>
    <w:rsid w:val="00186378"/>
    <w:rsid w:val="0019196A"/>
    <w:rsid w:val="00195146"/>
    <w:rsid w:val="00196732"/>
    <w:rsid w:val="001970D4"/>
    <w:rsid w:val="001972D6"/>
    <w:rsid w:val="00197998"/>
    <w:rsid w:val="001A140E"/>
    <w:rsid w:val="001A22E8"/>
    <w:rsid w:val="001A53C9"/>
    <w:rsid w:val="001A592C"/>
    <w:rsid w:val="001B1CB5"/>
    <w:rsid w:val="001B3DDA"/>
    <w:rsid w:val="001B41E1"/>
    <w:rsid w:val="001B4F27"/>
    <w:rsid w:val="001B76A6"/>
    <w:rsid w:val="001C281A"/>
    <w:rsid w:val="001C2B0D"/>
    <w:rsid w:val="001C4019"/>
    <w:rsid w:val="001C440B"/>
    <w:rsid w:val="001C6047"/>
    <w:rsid w:val="001C719A"/>
    <w:rsid w:val="001C7381"/>
    <w:rsid w:val="001C7C2F"/>
    <w:rsid w:val="001C7F2F"/>
    <w:rsid w:val="001D3F17"/>
    <w:rsid w:val="001E028B"/>
    <w:rsid w:val="001E1505"/>
    <w:rsid w:val="001E360A"/>
    <w:rsid w:val="001E7451"/>
    <w:rsid w:val="001F413C"/>
    <w:rsid w:val="001F456C"/>
    <w:rsid w:val="001F5495"/>
    <w:rsid w:val="001F5A6C"/>
    <w:rsid w:val="001F62FA"/>
    <w:rsid w:val="001F695D"/>
    <w:rsid w:val="001F7E30"/>
    <w:rsid w:val="002016E1"/>
    <w:rsid w:val="00201B1B"/>
    <w:rsid w:val="0020232D"/>
    <w:rsid w:val="00204F7C"/>
    <w:rsid w:val="00205D7A"/>
    <w:rsid w:val="00206802"/>
    <w:rsid w:val="00206C86"/>
    <w:rsid w:val="00207244"/>
    <w:rsid w:val="0020769B"/>
    <w:rsid w:val="00210D6E"/>
    <w:rsid w:val="00211031"/>
    <w:rsid w:val="00212390"/>
    <w:rsid w:val="00213CC3"/>
    <w:rsid w:val="0021653D"/>
    <w:rsid w:val="00220882"/>
    <w:rsid w:val="0022428C"/>
    <w:rsid w:val="00226B2A"/>
    <w:rsid w:val="00226BE4"/>
    <w:rsid w:val="002303A2"/>
    <w:rsid w:val="00232F0E"/>
    <w:rsid w:val="0023570C"/>
    <w:rsid w:val="002358B0"/>
    <w:rsid w:val="00237BCE"/>
    <w:rsid w:val="00237EC1"/>
    <w:rsid w:val="00243BD9"/>
    <w:rsid w:val="002452CA"/>
    <w:rsid w:val="00253076"/>
    <w:rsid w:val="00253300"/>
    <w:rsid w:val="00253CB5"/>
    <w:rsid w:val="00254CC6"/>
    <w:rsid w:val="00255233"/>
    <w:rsid w:val="0025583B"/>
    <w:rsid w:val="002607A1"/>
    <w:rsid w:val="0026180C"/>
    <w:rsid w:val="00263D93"/>
    <w:rsid w:val="0026584E"/>
    <w:rsid w:val="00265DBE"/>
    <w:rsid w:val="002679CB"/>
    <w:rsid w:val="0027237A"/>
    <w:rsid w:val="002724DB"/>
    <w:rsid w:val="00272FE3"/>
    <w:rsid w:val="00274BDD"/>
    <w:rsid w:val="002773DE"/>
    <w:rsid w:val="0027798E"/>
    <w:rsid w:val="002818C9"/>
    <w:rsid w:val="00281CDC"/>
    <w:rsid w:val="00282464"/>
    <w:rsid w:val="0028286B"/>
    <w:rsid w:val="0028358E"/>
    <w:rsid w:val="0028382B"/>
    <w:rsid w:val="00284660"/>
    <w:rsid w:val="0028794C"/>
    <w:rsid w:val="00287B04"/>
    <w:rsid w:val="0029357A"/>
    <w:rsid w:val="00294D7D"/>
    <w:rsid w:val="00294FB7"/>
    <w:rsid w:val="0029754C"/>
    <w:rsid w:val="002A0625"/>
    <w:rsid w:val="002A12C5"/>
    <w:rsid w:val="002A2681"/>
    <w:rsid w:val="002A35E4"/>
    <w:rsid w:val="002A40EA"/>
    <w:rsid w:val="002A6AD5"/>
    <w:rsid w:val="002B0E2B"/>
    <w:rsid w:val="002B283D"/>
    <w:rsid w:val="002B2B89"/>
    <w:rsid w:val="002B374F"/>
    <w:rsid w:val="002B4708"/>
    <w:rsid w:val="002B57E7"/>
    <w:rsid w:val="002B64AE"/>
    <w:rsid w:val="002B6EFF"/>
    <w:rsid w:val="002B7EAF"/>
    <w:rsid w:val="002C4312"/>
    <w:rsid w:val="002C5D15"/>
    <w:rsid w:val="002C7387"/>
    <w:rsid w:val="002D0DE8"/>
    <w:rsid w:val="002D2E3D"/>
    <w:rsid w:val="002D351D"/>
    <w:rsid w:val="002D438F"/>
    <w:rsid w:val="002D6DAA"/>
    <w:rsid w:val="002E01FD"/>
    <w:rsid w:val="002E274C"/>
    <w:rsid w:val="002E3577"/>
    <w:rsid w:val="002E51C3"/>
    <w:rsid w:val="002F5EB6"/>
    <w:rsid w:val="002F5ECB"/>
    <w:rsid w:val="0030372C"/>
    <w:rsid w:val="00304813"/>
    <w:rsid w:val="00305472"/>
    <w:rsid w:val="00305C04"/>
    <w:rsid w:val="00310792"/>
    <w:rsid w:val="0031344F"/>
    <w:rsid w:val="00315918"/>
    <w:rsid w:val="00316556"/>
    <w:rsid w:val="00317645"/>
    <w:rsid w:val="00317A85"/>
    <w:rsid w:val="00320802"/>
    <w:rsid w:val="00326E03"/>
    <w:rsid w:val="00327F49"/>
    <w:rsid w:val="0033223B"/>
    <w:rsid w:val="003322B1"/>
    <w:rsid w:val="003344C3"/>
    <w:rsid w:val="00334C9A"/>
    <w:rsid w:val="00341771"/>
    <w:rsid w:val="00341E79"/>
    <w:rsid w:val="0034221E"/>
    <w:rsid w:val="003439A0"/>
    <w:rsid w:val="00346C78"/>
    <w:rsid w:val="00350234"/>
    <w:rsid w:val="00352230"/>
    <w:rsid w:val="00353E38"/>
    <w:rsid w:val="00355B31"/>
    <w:rsid w:val="00357D3E"/>
    <w:rsid w:val="00361228"/>
    <w:rsid w:val="00363198"/>
    <w:rsid w:val="00363671"/>
    <w:rsid w:val="0036719A"/>
    <w:rsid w:val="00370594"/>
    <w:rsid w:val="00371411"/>
    <w:rsid w:val="00371AAB"/>
    <w:rsid w:val="00371D0F"/>
    <w:rsid w:val="003721B3"/>
    <w:rsid w:val="003748D7"/>
    <w:rsid w:val="00375A61"/>
    <w:rsid w:val="003812DA"/>
    <w:rsid w:val="00381CF8"/>
    <w:rsid w:val="00382783"/>
    <w:rsid w:val="00384988"/>
    <w:rsid w:val="00385EE0"/>
    <w:rsid w:val="00386FB3"/>
    <w:rsid w:val="003942F2"/>
    <w:rsid w:val="00394F79"/>
    <w:rsid w:val="003A2CB1"/>
    <w:rsid w:val="003A3998"/>
    <w:rsid w:val="003B07AC"/>
    <w:rsid w:val="003B1269"/>
    <w:rsid w:val="003B2BBB"/>
    <w:rsid w:val="003B3E54"/>
    <w:rsid w:val="003B54C8"/>
    <w:rsid w:val="003B762E"/>
    <w:rsid w:val="003B7B52"/>
    <w:rsid w:val="003C3455"/>
    <w:rsid w:val="003C5062"/>
    <w:rsid w:val="003C5386"/>
    <w:rsid w:val="003D2CE1"/>
    <w:rsid w:val="003D36F8"/>
    <w:rsid w:val="003D4F14"/>
    <w:rsid w:val="003E1384"/>
    <w:rsid w:val="003E3A7B"/>
    <w:rsid w:val="003E5808"/>
    <w:rsid w:val="003E5829"/>
    <w:rsid w:val="003E6A0D"/>
    <w:rsid w:val="003E6A1D"/>
    <w:rsid w:val="003E6FEE"/>
    <w:rsid w:val="003E76A8"/>
    <w:rsid w:val="003F05C6"/>
    <w:rsid w:val="003F21F2"/>
    <w:rsid w:val="003F2270"/>
    <w:rsid w:val="0040100A"/>
    <w:rsid w:val="00403DC1"/>
    <w:rsid w:val="00404684"/>
    <w:rsid w:val="00405622"/>
    <w:rsid w:val="00406C55"/>
    <w:rsid w:val="00412000"/>
    <w:rsid w:val="00415DC9"/>
    <w:rsid w:val="004166C0"/>
    <w:rsid w:val="00416C4F"/>
    <w:rsid w:val="00423BB9"/>
    <w:rsid w:val="004248D9"/>
    <w:rsid w:val="0043358A"/>
    <w:rsid w:val="00434871"/>
    <w:rsid w:val="00436E55"/>
    <w:rsid w:val="0044005B"/>
    <w:rsid w:val="004407DC"/>
    <w:rsid w:val="00442F0A"/>
    <w:rsid w:val="0044308F"/>
    <w:rsid w:val="0044570E"/>
    <w:rsid w:val="00446B0E"/>
    <w:rsid w:val="00447590"/>
    <w:rsid w:val="00450711"/>
    <w:rsid w:val="00450714"/>
    <w:rsid w:val="00451182"/>
    <w:rsid w:val="00453091"/>
    <w:rsid w:val="00455686"/>
    <w:rsid w:val="004573B9"/>
    <w:rsid w:val="00457538"/>
    <w:rsid w:val="00461830"/>
    <w:rsid w:val="00461E13"/>
    <w:rsid w:val="00462136"/>
    <w:rsid w:val="004624C8"/>
    <w:rsid w:val="00466D6D"/>
    <w:rsid w:val="00467260"/>
    <w:rsid w:val="00467D73"/>
    <w:rsid w:val="00470415"/>
    <w:rsid w:val="00474994"/>
    <w:rsid w:val="00475AEF"/>
    <w:rsid w:val="00475DD6"/>
    <w:rsid w:val="0047795D"/>
    <w:rsid w:val="004779FF"/>
    <w:rsid w:val="00481181"/>
    <w:rsid w:val="0048325C"/>
    <w:rsid w:val="00483D59"/>
    <w:rsid w:val="00484565"/>
    <w:rsid w:val="0048744C"/>
    <w:rsid w:val="00491D1D"/>
    <w:rsid w:val="004937CE"/>
    <w:rsid w:val="00495375"/>
    <w:rsid w:val="00495471"/>
    <w:rsid w:val="00495609"/>
    <w:rsid w:val="004958B6"/>
    <w:rsid w:val="00496F2E"/>
    <w:rsid w:val="004A2F94"/>
    <w:rsid w:val="004A6AD4"/>
    <w:rsid w:val="004A7D5C"/>
    <w:rsid w:val="004B2EE4"/>
    <w:rsid w:val="004B2F1A"/>
    <w:rsid w:val="004B3D06"/>
    <w:rsid w:val="004B6072"/>
    <w:rsid w:val="004C0F6F"/>
    <w:rsid w:val="004C2760"/>
    <w:rsid w:val="004C33D4"/>
    <w:rsid w:val="004D04DF"/>
    <w:rsid w:val="004D1BA5"/>
    <w:rsid w:val="004D2EBF"/>
    <w:rsid w:val="004D30E3"/>
    <w:rsid w:val="004D37BD"/>
    <w:rsid w:val="004D5A28"/>
    <w:rsid w:val="004D7D4D"/>
    <w:rsid w:val="004E2883"/>
    <w:rsid w:val="004E346A"/>
    <w:rsid w:val="004E522E"/>
    <w:rsid w:val="004E7226"/>
    <w:rsid w:val="004F112C"/>
    <w:rsid w:val="004F130E"/>
    <w:rsid w:val="004F3C73"/>
    <w:rsid w:val="004F5080"/>
    <w:rsid w:val="004F5D22"/>
    <w:rsid w:val="004F62E7"/>
    <w:rsid w:val="00502EAE"/>
    <w:rsid w:val="0050513E"/>
    <w:rsid w:val="00505308"/>
    <w:rsid w:val="005104FA"/>
    <w:rsid w:val="005110D1"/>
    <w:rsid w:val="005156A3"/>
    <w:rsid w:val="00516624"/>
    <w:rsid w:val="00520541"/>
    <w:rsid w:val="005238F2"/>
    <w:rsid w:val="00524207"/>
    <w:rsid w:val="00527A40"/>
    <w:rsid w:val="00530513"/>
    <w:rsid w:val="0053370B"/>
    <w:rsid w:val="00534626"/>
    <w:rsid w:val="005357FF"/>
    <w:rsid w:val="005367D3"/>
    <w:rsid w:val="0053789D"/>
    <w:rsid w:val="00540471"/>
    <w:rsid w:val="0054095C"/>
    <w:rsid w:val="005410BA"/>
    <w:rsid w:val="00543000"/>
    <w:rsid w:val="00543618"/>
    <w:rsid w:val="00544682"/>
    <w:rsid w:val="00553785"/>
    <w:rsid w:val="00555113"/>
    <w:rsid w:val="00557A12"/>
    <w:rsid w:val="005636AD"/>
    <w:rsid w:val="00563B1D"/>
    <w:rsid w:val="005656B9"/>
    <w:rsid w:val="005718EF"/>
    <w:rsid w:val="0057210A"/>
    <w:rsid w:val="00574027"/>
    <w:rsid w:val="00576F97"/>
    <w:rsid w:val="005815B4"/>
    <w:rsid w:val="00581F13"/>
    <w:rsid w:val="00583817"/>
    <w:rsid w:val="00584E52"/>
    <w:rsid w:val="0058738B"/>
    <w:rsid w:val="005931CE"/>
    <w:rsid w:val="00597E41"/>
    <w:rsid w:val="005A0407"/>
    <w:rsid w:val="005A1B16"/>
    <w:rsid w:val="005A1D71"/>
    <w:rsid w:val="005A213F"/>
    <w:rsid w:val="005A2D13"/>
    <w:rsid w:val="005A59CF"/>
    <w:rsid w:val="005B033F"/>
    <w:rsid w:val="005B2845"/>
    <w:rsid w:val="005B2B1B"/>
    <w:rsid w:val="005B5468"/>
    <w:rsid w:val="005B7BD0"/>
    <w:rsid w:val="005C1D4B"/>
    <w:rsid w:val="005C560E"/>
    <w:rsid w:val="005C5B3A"/>
    <w:rsid w:val="005C5ED3"/>
    <w:rsid w:val="005D1314"/>
    <w:rsid w:val="005D3181"/>
    <w:rsid w:val="005D36A3"/>
    <w:rsid w:val="005D4036"/>
    <w:rsid w:val="005D55C0"/>
    <w:rsid w:val="005E0D12"/>
    <w:rsid w:val="005E3538"/>
    <w:rsid w:val="005E40F1"/>
    <w:rsid w:val="005E6782"/>
    <w:rsid w:val="005F0D96"/>
    <w:rsid w:val="005F1116"/>
    <w:rsid w:val="005F132A"/>
    <w:rsid w:val="005F19F2"/>
    <w:rsid w:val="005F4550"/>
    <w:rsid w:val="005F4AA2"/>
    <w:rsid w:val="005F52D3"/>
    <w:rsid w:val="005F58EE"/>
    <w:rsid w:val="00601370"/>
    <w:rsid w:val="00602D4E"/>
    <w:rsid w:val="00603157"/>
    <w:rsid w:val="00606AEE"/>
    <w:rsid w:val="00611D5A"/>
    <w:rsid w:val="00615C08"/>
    <w:rsid w:val="0062013C"/>
    <w:rsid w:val="00620D3A"/>
    <w:rsid w:val="0062501D"/>
    <w:rsid w:val="006261D1"/>
    <w:rsid w:val="00626E93"/>
    <w:rsid w:val="006276B2"/>
    <w:rsid w:val="006372AA"/>
    <w:rsid w:val="00637B9F"/>
    <w:rsid w:val="0064062A"/>
    <w:rsid w:val="0064221B"/>
    <w:rsid w:val="00642534"/>
    <w:rsid w:val="006432B6"/>
    <w:rsid w:val="00643BBE"/>
    <w:rsid w:val="006446AB"/>
    <w:rsid w:val="006446EB"/>
    <w:rsid w:val="0065008F"/>
    <w:rsid w:val="00651ECD"/>
    <w:rsid w:val="00653115"/>
    <w:rsid w:val="00653D82"/>
    <w:rsid w:val="00655FD6"/>
    <w:rsid w:val="00660315"/>
    <w:rsid w:val="00660753"/>
    <w:rsid w:val="00663B18"/>
    <w:rsid w:val="00663CDB"/>
    <w:rsid w:val="00665B9A"/>
    <w:rsid w:val="00667743"/>
    <w:rsid w:val="006717F4"/>
    <w:rsid w:val="006726B8"/>
    <w:rsid w:val="00672E35"/>
    <w:rsid w:val="006740CF"/>
    <w:rsid w:val="006767A1"/>
    <w:rsid w:val="006825B3"/>
    <w:rsid w:val="00682718"/>
    <w:rsid w:val="00683D03"/>
    <w:rsid w:val="006874F5"/>
    <w:rsid w:val="00690003"/>
    <w:rsid w:val="00690274"/>
    <w:rsid w:val="00690487"/>
    <w:rsid w:val="006921AE"/>
    <w:rsid w:val="00692ABF"/>
    <w:rsid w:val="006948D2"/>
    <w:rsid w:val="00697065"/>
    <w:rsid w:val="00697BE2"/>
    <w:rsid w:val="006A072F"/>
    <w:rsid w:val="006A2FCF"/>
    <w:rsid w:val="006A50B5"/>
    <w:rsid w:val="006A57CC"/>
    <w:rsid w:val="006A6846"/>
    <w:rsid w:val="006B0230"/>
    <w:rsid w:val="006B0EFE"/>
    <w:rsid w:val="006B1766"/>
    <w:rsid w:val="006B1D57"/>
    <w:rsid w:val="006B20CE"/>
    <w:rsid w:val="006B2D29"/>
    <w:rsid w:val="006B40E8"/>
    <w:rsid w:val="006B56C1"/>
    <w:rsid w:val="006C081C"/>
    <w:rsid w:val="006C0DB4"/>
    <w:rsid w:val="006C462D"/>
    <w:rsid w:val="006C6758"/>
    <w:rsid w:val="006C74CA"/>
    <w:rsid w:val="006D10FB"/>
    <w:rsid w:val="006D24ED"/>
    <w:rsid w:val="006D49D6"/>
    <w:rsid w:val="006D53AA"/>
    <w:rsid w:val="006D6058"/>
    <w:rsid w:val="006E0210"/>
    <w:rsid w:val="006E0F1E"/>
    <w:rsid w:val="006E278A"/>
    <w:rsid w:val="006E42E5"/>
    <w:rsid w:val="006E6675"/>
    <w:rsid w:val="006F09D9"/>
    <w:rsid w:val="006F4C00"/>
    <w:rsid w:val="0070222D"/>
    <w:rsid w:val="0070277C"/>
    <w:rsid w:val="00711F78"/>
    <w:rsid w:val="007127CF"/>
    <w:rsid w:val="00713987"/>
    <w:rsid w:val="00714E10"/>
    <w:rsid w:val="007160A2"/>
    <w:rsid w:val="007228B5"/>
    <w:rsid w:val="00722BCF"/>
    <w:rsid w:val="00722C2F"/>
    <w:rsid w:val="00723A75"/>
    <w:rsid w:val="00724A48"/>
    <w:rsid w:val="00725BCC"/>
    <w:rsid w:val="007317EF"/>
    <w:rsid w:val="00732C20"/>
    <w:rsid w:val="007335A4"/>
    <w:rsid w:val="00734011"/>
    <w:rsid w:val="007341C7"/>
    <w:rsid w:val="00743A51"/>
    <w:rsid w:val="00744542"/>
    <w:rsid w:val="007453AD"/>
    <w:rsid w:val="0074541B"/>
    <w:rsid w:val="00745FF5"/>
    <w:rsid w:val="00752F31"/>
    <w:rsid w:val="00754107"/>
    <w:rsid w:val="007545F1"/>
    <w:rsid w:val="0075683B"/>
    <w:rsid w:val="00760986"/>
    <w:rsid w:val="00761AEF"/>
    <w:rsid w:val="00761EDA"/>
    <w:rsid w:val="00763115"/>
    <w:rsid w:val="00763EF0"/>
    <w:rsid w:val="007664FE"/>
    <w:rsid w:val="00766F6B"/>
    <w:rsid w:val="00770670"/>
    <w:rsid w:val="00772448"/>
    <w:rsid w:val="00776D49"/>
    <w:rsid w:val="00781815"/>
    <w:rsid w:val="00791E4D"/>
    <w:rsid w:val="0079269C"/>
    <w:rsid w:val="00793CA9"/>
    <w:rsid w:val="00795EEB"/>
    <w:rsid w:val="00796B89"/>
    <w:rsid w:val="007A006C"/>
    <w:rsid w:val="007A1D55"/>
    <w:rsid w:val="007A3803"/>
    <w:rsid w:val="007B235E"/>
    <w:rsid w:val="007B2A94"/>
    <w:rsid w:val="007B39E3"/>
    <w:rsid w:val="007B5080"/>
    <w:rsid w:val="007C0111"/>
    <w:rsid w:val="007C06F3"/>
    <w:rsid w:val="007C0D46"/>
    <w:rsid w:val="007C3BF5"/>
    <w:rsid w:val="007C40C9"/>
    <w:rsid w:val="007C499D"/>
    <w:rsid w:val="007C4AF6"/>
    <w:rsid w:val="007C7536"/>
    <w:rsid w:val="007D208B"/>
    <w:rsid w:val="007D3379"/>
    <w:rsid w:val="007D7AA1"/>
    <w:rsid w:val="007E4376"/>
    <w:rsid w:val="007E74FB"/>
    <w:rsid w:val="007F0DBB"/>
    <w:rsid w:val="007F2468"/>
    <w:rsid w:val="007F4002"/>
    <w:rsid w:val="007F64BE"/>
    <w:rsid w:val="007F6CF5"/>
    <w:rsid w:val="007F7188"/>
    <w:rsid w:val="0080008B"/>
    <w:rsid w:val="0080254E"/>
    <w:rsid w:val="00804C2E"/>
    <w:rsid w:val="00804EB3"/>
    <w:rsid w:val="00806482"/>
    <w:rsid w:val="00812FBE"/>
    <w:rsid w:val="00816DD6"/>
    <w:rsid w:val="00820318"/>
    <w:rsid w:val="00821ACE"/>
    <w:rsid w:val="0082244E"/>
    <w:rsid w:val="008230E3"/>
    <w:rsid w:val="00826160"/>
    <w:rsid w:val="00826DD0"/>
    <w:rsid w:val="008273C4"/>
    <w:rsid w:val="00827B93"/>
    <w:rsid w:val="00827CA7"/>
    <w:rsid w:val="00830DD2"/>
    <w:rsid w:val="00833E64"/>
    <w:rsid w:val="0083588A"/>
    <w:rsid w:val="00841285"/>
    <w:rsid w:val="00841E60"/>
    <w:rsid w:val="00842BA9"/>
    <w:rsid w:val="00843777"/>
    <w:rsid w:val="00845088"/>
    <w:rsid w:val="008452FD"/>
    <w:rsid w:val="00847291"/>
    <w:rsid w:val="00851581"/>
    <w:rsid w:val="00855445"/>
    <w:rsid w:val="00861E28"/>
    <w:rsid w:val="008632E9"/>
    <w:rsid w:val="008646DE"/>
    <w:rsid w:val="00866DB1"/>
    <w:rsid w:val="0087247C"/>
    <w:rsid w:val="00876AAB"/>
    <w:rsid w:val="008770BD"/>
    <w:rsid w:val="00881384"/>
    <w:rsid w:val="0088203D"/>
    <w:rsid w:val="008825DC"/>
    <w:rsid w:val="008829B8"/>
    <w:rsid w:val="008852A2"/>
    <w:rsid w:val="008857B2"/>
    <w:rsid w:val="00886B31"/>
    <w:rsid w:val="0088789A"/>
    <w:rsid w:val="0089380B"/>
    <w:rsid w:val="00897446"/>
    <w:rsid w:val="00897861"/>
    <w:rsid w:val="008A0116"/>
    <w:rsid w:val="008A036B"/>
    <w:rsid w:val="008A1C1A"/>
    <w:rsid w:val="008A4C8D"/>
    <w:rsid w:val="008A5D92"/>
    <w:rsid w:val="008B000E"/>
    <w:rsid w:val="008B060B"/>
    <w:rsid w:val="008B2FD6"/>
    <w:rsid w:val="008C0EFC"/>
    <w:rsid w:val="008C27BF"/>
    <w:rsid w:val="008C5FBB"/>
    <w:rsid w:val="008C6C3B"/>
    <w:rsid w:val="008D07B9"/>
    <w:rsid w:val="008D08E4"/>
    <w:rsid w:val="008D4253"/>
    <w:rsid w:val="008D5275"/>
    <w:rsid w:val="008D5636"/>
    <w:rsid w:val="008D58EE"/>
    <w:rsid w:val="008D7510"/>
    <w:rsid w:val="008E0AA0"/>
    <w:rsid w:val="008E0EEE"/>
    <w:rsid w:val="008E16CF"/>
    <w:rsid w:val="008E2963"/>
    <w:rsid w:val="008E4080"/>
    <w:rsid w:val="008E4DCD"/>
    <w:rsid w:val="008F3428"/>
    <w:rsid w:val="008F4B50"/>
    <w:rsid w:val="008F5D4E"/>
    <w:rsid w:val="008F6668"/>
    <w:rsid w:val="00900BC5"/>
    <w:rsid w:val="0090282C"/>
    <w:rsid w:val="009045ED"/>
    <w:rsid w:val="009056EE"/>
    <w:rsid w:val="00912078"/>
    <w:rsid w:val="0091289E"/>
    <w:rsid w:val="00913775"/>
    <w:rsid w:val="00917832"/>
    <w:rsid w:val="00921D4E"/>
    <w:rsid w:val="009243DC"/>
    <w:rsid w:val="0092514E"/>
    <w:rsid w:val="0093246F"/>
    <w:rsid w:val="00932B82"/>
    <w:rsid w:val="00933FBD"/>
    <w:rsid w:val="009342AC"/>
    <w:rsid w:val="00941D86"/>
    <w:rsid w:val="00944ADA"/>
    <w:rsid w:val="00947639"/>
    <w:rsid w:val="00951180"/>
    <w:rsid w:val="00951346"/>
    <w:rsid w:val="009527E8"/>
    <w:rsid w:val="00952D42"/>
    <w:rsid w:val="00954EB0"/>
    <w:rsid w:val="009551D9"/>
    <w:rsid w:val="00957B6E"/>
    <w:rsid w:val="00964A59"/>
    <w:rsid w:val="009660EF"/>
    <w:rsid w:val="00971EF5"/>
    <w:rsid w:val="00974B41"/>
    <w:rsid w:val="00975FAB"/>
    <w:rsid w:val="00977834"/>
    <w:rsid w:val="0097786E"/>
    <w:rsid w:val="00977A1E"/>
    <w:rsid w:val="00980007"/>
    <w:rsid w:val="009846E0"/>
    <w:rsid w:val="009851F4"/>
    <w:rsid w:val="009854E1"/>
    <w:rsid w:val="0098687D"/>
    <w:rsid w:val="0099123F"/>
    <w:rsid w:val="00991E27"/>
    <w:rsid w:val="00992CE9"/>
    <w:rsid w:val="00993683"/>
    <w:rsid w:val="009948BE"/>
    <w:rsid w:val="00994959"/>
    <w:rsid w:val="00995ACC"/>
    <w:rsid w:val="00996353"/>
    <w:rsid w:val="009A2727"/>
    <w:rsid w:val="009A589F"/>
    <w:rsid w:val="009A6237"/>
    <w:rsid w:val="009A7C1C"/>
    <w:rsid w:val="009B35C3"/>
    <w:rsid w:val="009B419E"/>
    <w:rsid w:val="009B474F"/>
    <w:rsid w:val="009B4A69"/>
    <w:rsid w:val="009B4C4A"/>
    <w:rsid w:val="009B59F9"/>
    <w:rsid w:val="009B79CE"/>
    <w:rsid w:val="009B7E09"/>
    <w:rsid w:val="009C0662"/>
    <w:rsid w:val="009C1A59"/>
    <w:rsid w:val="009D0794"/>
    <w:rsid w:val="009D33C8"/>
    <w:rsid w:val="009E2466"/>
    <w:rsid w:val="009E248C"/>
    <w:rsid w:val="009E57EE"/>
    <w:rsid w:val="009E684F"/>
    <w:rsid w:val="009E69AF"/>
    <w:rsid w:val="009E75FC"/>
    <w:rsid w:val="009E766A"/>
    <w:rsid w:val="009F465F"/>
    <w:rsid w:val="009F5718"/>
    <w:rsid w:val="009F5735"/>
    <w:rsid w:val="009F5871"/>
    <w:rsid w:val="009F657D"/>
    <w:rsid w:val="009F6991"/>
    <w:rsid w:val="00A00AB3"/>
    <w:rsid w:val="00A00CD8"/>
    <w:rsid w:val="00A01431"/>
    <w:rsid w:val="00A01ABC"/>
    <w:rsid w:val="00A04C78"/>
    <w:rsid w:val="00A06E7B"/>
    <w:rsid w:val="00A15296"/>
    <w:rsid w:val="00A1741F"/>
    <w:rsid w:val="00A220AE"/>
    <w:rsid w:val="00A34050"/>
    <w:rsid w:val="00A356CB"/>
    <w:rsid w:val="00A35F08"/>
    <w:rsid w:val="00A44778"/>
    <w:rsid w:val="00A457FD"/>
    <w:rsid w:val="00A505BB"/>
    <w:rsid w:val="00A554B8"/>
    <w:rsid w:val="00A61E78"/>
    <w:rsid w:val="00A63106"/>
    <w:rsid w:val="00A66D45"/>
    <w:rsid w:val="00A70C53"/>
    <w:rsid w:val="00A70D52"/>
    <w:rsid w:val="00A726F0"/>
    <w:rsid w:val="00A72E53"/>
    <w:rsid w:val="00A73E25"/>
    <w:rsid w:val="00A743D2"/>
    <w:rsid w:val="00A74A26"/>
    <w:rsid w:val="00A74FD2"/>
    <w:rsid w:val="00A76E15"/>
    <w:rsid w:val="00A81B87"/>
    <w:rsid w:val="00A82180"/>
    <w:rsid w:val="00A82E48"/>
    <w:rsid w:val="00A83126"/>
    <w:rsid w:val="00A83803"/>
    <w:rsid w:val="00A83D88"/>
    <w:rsid w:val="00A83FA9"/>
    <w:rsid w:val="00A85BD4"/>
    <w:rsid w:val="00A87007"/>
    <w:rsid w:val="00A91C29"/>
    <w:rsid w:val="00A92BF3"/>
    <w:rsid w:val="00A93189"/>
    <w:rsid w:val="00A9371C"/>
    <w:rsid w:val="00A95259"/>
    <w:rsid w:val="00A95F57"/>
    <w:rsid w:val="00AA0AC7"/>
    <w:rsid w:val="00AA1FDE"/>
    <w:rsid w:val="00AA25AA"/>
    <w:rsid w:val="00AA2C95"/>
    <w:rsid w:val="00AA6032"/>
    <w:rsid w:val="00AA7B6B"/>
    <w:rsid w:val="00AB4A28"/>
    <w:rsid w:val="00AB698F"/>
    <w:rsid w:val="00AB74EB"/>
    <w:rsid w:val="00AC2351"/>
    <w:rsid w:val="00AC2C21"/>
    <w:rsid w:val="00AC69F6"/>
    <w:rsid w:val="00AC79B7"/>
    <w:rsid w:val="00AD13C7"/>
    <w:rsid w:val="00AD202F"/>
    <w:rsid w:val="00AD3B22"/>
    <w:rsid w:val="00AD41DA"/>
    <w:rsid w:val="00AD6711"/>
    <w:rsid w:val="00AD7F2F"/>
    <w:rsid w:val="00AE1BBD"/>
    <w:rsid w:val="00AE1CE5"/>
    <w:rsid w:val="00AE1F26"/>
    <w:rsid w:val="00AE2D95"/>
    <w:rsid w:val="00AE3FB0"/>
    <w:rsid w:val="00AE599E"/>
    <w:rsid w:val="00AF0E34"/>
    <w:rsid w:val="00AF4251"/>
    <w:rsid w:val="00AF5969"/>
    <w:rsid w:val="00AF607B"/>
    <w:rsid w:val="00AF73B7"/>
    <w:rsid w:val="00B02872"/>
    <w:rsid w:val="00B02E4C"/>
    <w:rsid w:val="00B034DA"/>
    <w:rsid w:val="00B03D4A"/>
    <w:rsid w:val="00B03E79"/>
    <w:rsid w:val="00B05D66"/>
    <w:rsid w:val="00B061EF"/>
    <w:rsid w:val="00B07C3C"/>
    <w:rsid w:val="00B10675"/>
    <w:rsid w:val="00B12150"/>
    <w:rsid w:val="00B12A01"/>
    <w:rsid w:val="00B13255"/>
    <w:rsid w:val="00B1607C"/>
    <w:rsid w:val="00B168FD"/>
    <w:rsid w:val="00B1745A"/>
    <w:rsid w:val="00B17BCC"/>
    <w:rsid w:val="00B217EE"/>
    <w:rsid w:val="00B229E4"/>
    <w:rsid w:val="00B247D3"/>
    <w:rsid w:val="00B26143"/>
    <w:rsid w:val="00B261F2"/>
    <w:rsid w:val="00B267E8"/>
    <w:rsid w:val="00B276E4"/>
    <w:rsid w:val="00B3210C"/>
    <w:rsid w:val="00B32AFC"/>
    <w:rsid w:val="00B3579F"/>
    <w:rsid w:val="00B36337"/>
    <w:rsid w:val="00B36629"/>
    <w:rsid w:val="00B37E27"/>
    <w:rsid w:val="00B37F19"/>
    <w:rsid w:val="00B50AF7"/>
    <w:rsid w:val="00B52B23"/>
    <w:rsid w:val="00B53768"/>
    <w:rsid w:val="00B54435"/>
    <w:rsid w:val="00B5448F"/>
    <w:rsid w:val="00B55DCD"/>
    <w:rsid w:val="00B62F5C"/>
    <w:rsid w:val="00B632D0"/>
    <w:rsid w:val="00B66918"/>
    <w:rsid w:val="00B70812"/>
    <w:rsid w:val="00B70A51"/>
    <w:rsid w:val="00B71CF0"/>
    <w:rsid w:val="00B72121"/>
    <w:rsid w:val="00B72FC5"/>
    <w:rsid w:val="00B73AAF"/>
    <w:rsid w:val="00B748B6"/>
    <w:rsid w:val="00B75881"/>
    <w:rsid w:val="00B778DE"/>
    <w:rsid w:val="00B77AA0"/>
    <w:rsid w:val="00B811C3"/>
    <w:rsid w:val="00B818B2"/>
    <w:rsid w:val="00B8476B"/>
    <w:rsid w:val="00B85E88"/>
    <w:rsid w:val="00B91D4F"/>
    <w:rsid w:val="00B9516F"/>
    <w:rsid w:val="00B9613B"/>
    <w:rsid w:val="00BA0BC3"/>
    <w:rsid w:val="00BA0FAA"/>
    <w:rsid w:val="00BA1782"/>
    <w:rsid w:val="00BA1924"/>
    <w:rsid w:val="00BA1FC6"/>
    <w:rsid w:val="00BA5723"/>
    <w:rsid w:val="00BA783C"/>
    <w:rsid w:val="00BB329D"/>
    <w:rsid w:val="00BB36EA"/>
    <w:rsid w:val="00BB378B"/>
    <w:rsid w:val="00BB421C"/>
    <w:rsid w:val="00BC10DC"/>
    <w:rsid w:val="00BC1D5A"/>
    <w:rsid w:val="00BC215A"/>
    <w:rsid w:val="00BC549D"/>
    <w:rsid w:val="00BC6430"/>
    <w:rsid w:val="00BC6EF1"/>
    <w:rsid w:val="00BC7A2D"/>
    <w:rsid w:val="00BD0150"/>
    <w:rsid w:val="00BD1D0D"/>
    <w:rsid w:val="00BD3BF3"/>
    <w:rsid w:val="00BD5EAA"/>
    <w:rsid w:val="00BD60DE"/>
    <w:rsid w:val="00BD6229"/>
    <w:rsid w:val="00BE0BAD"/>
    <w:rsid w:val="00BE1F00"/>
    <w:rsid w:val="00BE3C06"/>
    <w:rsid w:val="00BE5A23"/>
    <w:rsid w:val="00BE6D54"/>
    <w:rsid w:val="00BE78C3"/>
    <w:rsid w:val="00BF0BA6"/>
    <w:rsid w:val="00BF14B1"/>
    <w:rsid w:val="00BF2A06"/>
    <w:rsid w:val="00BF3CBF"/>
    <w:rsid w:val="00BF708A"/>
    <w:rsid w:val="00BF7578"/>
    <w:rsid w:val="00C0127F"/>
    <w:rsid w:val="00C01CCC"/>
    <w:rsid w:val="00C01D19"/>
    <w:rsid w:val="00C02D73"/>
    <w:rsid w:val="00C03AE8"/>
    <w:rsid w:val="00C04D46"/>
    <w:rsid w:val="00C07C23"/>
    <w:rsid w:val="00C164DC"/>
    <w:rsid w:val="00C222F0"/>
    <w:rsid w:val="00C227AB"/>
    <w:rsid w:val="00C23C08"/>
    <w:rsid w:val="00C24B36"/>
    <w:rsid w:val="00C24BC5"/>
    <w:rsid w:val="00C26459"/>
    <w:rsid w:val="00C270B7"/>
    <w:rsid w:val="00C33E64"/>
    <w:rsid w:val="00C348EB"/>
    <w:rsid w:val="00C40309"/>
    <w:rsid w:val="00C4214D"/>
    <w:rsid w:val="00C4452E"/>
    <w:rsid w:val="00C44556"/>
    <w:rsid w:val="00C45AF5"/>
    <w:rsid w:val="00C54FD5"/>
    <w:rsid w:val="00C5702A"/>
    <w:rsid w:val="00C57503"/>
    <w:rsid w:val="00C6027A"/>
    <w:rsid w:val="00C617B8"/>
    <w:rsid w:val="00C6271C"/>
    <w:rsid w:val="00C6355D"/>
    <w:rsid w:val="00C7063E"/>
    <w:rsid w:val="00C7137B"/>
    <w:rsid w:val="00C73627"/>
    <w:rsid w:val="00C74B0B"/>
    <w:rsid w:val="00C810E8"/>
    <w:rsid w:val="00C8529E"/>
    <w:rsid w:val="00C87C63"/>
    <w:rsid w:val="00C90012"/>
    <w:rsid w:val="00C93E51"/>
    <w:rsid w:val="00C93EE8"/>
    <w:rsid w:val="00C9440F"/>
    <w:rsid w:val="00C959F9"/>
    <w:rsid w:val="00C96A6F"/>
    <w:rsid w:val="00CA0A79"/>
    <w:rsid w:val="00CA20B9"/>
    <w:rsid w:val="00CA2C3D"/>
    <w:rsid w:val="00CA3E5B"/>
    <w:rsid w:val="00CA486A"/>
    <w:rsid w:val="00CA5B13"/>
    <w:rsid w:val="00CA7D49"/>
    <w:rsid w:val="00CB1255"/>
    <w:rsid w:val="00CB14A7"/>
    <w:rsid w:val="00CB1B3D"/>
    <w:rsid w:val="00CB3C6B"/>
    <w:rsid w:val="00CB4A6A"/>
    <w:rsid w:val="00CB77E3"/>
    <w:rsid w:val="00CB7900"/>
    <w:rsid w:val="00CC05E8"/>
    <w:rsid w:val="00CC0CF3"/>
    <w:rsid w:val="00CC20AA"/>
    <w:rsid w:val="00CC2E39"/>
    <w:rsid w:val="00CC396F"/>
    <w:rsid w:val="00CC60E3"/>
    <w:rsid w:val="00CC650C"/>
    <w:rsid w:val="00CD31DC"/>
    <w:rsid w:val="00CD6162"/>
    <w:rsid w:val="00CD709C"/>
    <w:rsid w:val="00CD7D70"/>
    <w:rsid w:val="00CE1745"/>
    <w:rsid w:val="00CE33DB"/>
    <w:rsid w:val="00CE36C8"/>
    <w:rsid w:val="00CE445F"/>
    <w:rsid w:val="00CF04A3"/>
    <w:rsid w:val="00CF0CB1"/>
    <w:rsid w:val="00CF1110"/>
    <w:rsid w:val="00CF1767"/>
    <w:rsid w:val="00CF2674"/>
    <w:rsid w:val="00CF51AF"/>
    <w:rsid w:val="00CF6AC5"/>
    <w:rsid w:val="00CF6B7C"/>
    <w:rsid w:val="00CF6F2E"/>
    <w:rsid w:val="00CF784F"/>
    <w:rsid w:val="00D01B17"/>
    <w:rsid w:val="00D07956"/>
    <w:rsid w:val="00D11EDA"/>
    <w:rsid w:val="00D15F6F"/>
    <w:rsid w:val="00D166FF"/>
    <w:rsid w:val="00D1684B"/>
    <w:rsid w:val="00D16E26"/>
    <w:rsid w:val="00D17391"/>
    <w:rsid w:val="00D179F2"/>
    <w:rsid w:val="00D206D7"/>
    <w:rsid w:val="00D20E3A"/>
    <w:rsid w:val="00D21328"/>
    <w:rsid w:val="00D245EC"/>
    <w:rsid w:val="00D2796C"/>
    <w:rsid w:val="00D27E61"/>
    <w:rsid w:val="00D310F0"/>
    <w:rsid w:val="00D31516"/>
    <w:rsid w:val="00D3202D"/>
    <w:rsid w:val="00D3249E"/>
    <w:rsid w:val="00D34883"/>
    <w:rsid w:val="00D36979"/>
    <w:rsid w:val="00D41A6A"/>
    <w:rsid w:val="00D41F82"/>
    <w:rsid w:val="00D43DCC"/>
    <w:rsid w:val="00D458ED"/>
    <w:rsid w:val="00D46BE9"/>
    <w:rsid w:val="00D52262"/>
    <w:rsid w:val="00D5307F"/>
    <w:rsid w:val="00D5360A"/>
    <w:rsid w:val="00D57355"/>
    <w:rsid w:val="00D600EC"/>
    <w:rsid w:val="00D60A72"/>
    <w:rsid w:val="00D623A1"/>
    <w:rsid w:val="00D6335A"/>
    <w:rsid w:val="00D633C3"/>
    <w:rsid w:val="00D643A7"/>
    <w:rsid w:val="00D64698"/>
    <w:rsid w:val="00D66159"/>
    <w:rsid w:val="00D70F16"/>
    <w:rsid w:val="00D72F70"/>
    <w:rsid w:val="00D7536E"/>
    <w:rsid w:val="00D767E6"/>
    <w:rsid w:val="00D76F33"/>
    <w:rsid w:val="00D770FC"/>
    <w:rsid w:val="00D7719E"/>
    <w:rsid w:val="00D77A1F"/>
    <w:rsid w:val="00D801CB"/>
    <w:rsid w:val="00D818D6"/>
    <w:rsid w:val="00D82155"/>
    <w:rsid w:val="00D83289"/>
    <w:rsid w:val="00D8354D"/>
    <w:rsid w:val="00D87B33"/>
    <w:rsid w:val="00D913CB"/>
    <w:rsid w:val="00D92475"/>
    <w:rsid w:val="00D92EAB"/>
    <w:rsid w:val="00D93EE3"/>
    <w:rsid w:val="00D947DA"/>
    <w:rsid w:val="00D95595"/>
    <w:rsid w:val="00D96EB4"/>
    <w:rsid w:val="00DA2E4C"/>
    <w:rsid w:val="00DA3588"/>
    <w:rsid w:val="00DA3ECD"/>
    <w:rsid w:val="00DA41CE"/>
    <w:rsid w:val="00DA4782"/>
    <w:rsid w:val="00DA6167"/>
    <w:rsid w:val="00DA693C"/>
    <w:rsid w:val="00DB007E"/>
    <w:rsid w:val="00DB155D"/>
    <w:rsid w:val="00DB43FF"/>
    <w:rsid w:val="00DB6526"/>
    <w:rsid w:val="00DB781A"/>
    <w:rsid w:val="00DC094C"/>
    <w:rsid w:val="00DC172C"/>
    <w:rsid w:val="00DC6D43"/>
    <w:rsid w:val="00DC6FEA"/>
    <w:rsid w:val="00DD4A81"/>
    <w:rsid w:val="00DD4B63"/>
    <w:rsid w:val="00DD6677"/>
    <w:rsid w:val="00DD78FF"/>
    <w:rsid w:val="00DE1191"/>
    <w:rsid w:val="00DE1488"/>
    <w:rsid w:val="00DE526B"/>
    <w:rsid w:val="00DF289C"/>
    <w:rsid w:val="00DF2DD4"/>
    <w:rsid w:val="00E00126"/>
    <w:rsid w:val="00E00532"/>
    <w:rsid w:val="00E0202C"/>
    <w:rsid w:val="00E045DC"/>
    <w:rsid w:val="00E04C6F"/>
    <w:rsid w:val="00E06A37"/>
    <w:rsid w:val="00E13C9D"/>
    <w:rsid w:val="00E13D3C"/>
    <w:rsid w:val="00E14F26"/>
    <w:rsid w:val="00E15BDB"/>
    <w:rsid w:val="00E16354"/>
    <w:rsid w:val="00E16714"/>
    <w:rsid w:val="00E201D3"/>
    <w:rsid w:val="00E20931"/>
    <w:rsid w:val="00E20CF8"/>
    <w:rsid w:val="00E2317A"/>
    <w:rsid w:val="00E23EE7"/>
    <w:rsid w:val="00E24878"/>
    <w:rsid w:val="00E24D41"/>
    <w:rsid w:val="00E313CF"/>
    <w:rsid w:val="00E36B4F"/>
    <w:rsid w:val="00E40763"/>
    <w:rsid w:val="00E5017A"/>
    <w:rsid w:val="00E501CB"/>
    <w:rsid w:val="00E51360"/>
    <w:rsid w:val="00E5272A"/>
    <w:rsid w:val="00E53C0B"/>
    <w:rsid w:val="00E55E7A"/>
    <w:rsid w:val="00E56B12"/>
    <w:rsid w:val="00E57359"/>
    <w:rsid w:val="00E6053D"/>
    <w:rsid w:val="00E60932"/>
    <w:rsid w:val="00E61348"/>
    <w:rsid w:val="00E63574"/>
    <w:rsid w:val="00E63CB5"/>
    <w:rsid w:val="00E64CD3"/>
    <w:rsid w:val="00E67AE5"/>
    <w:rsid w:val="00E71CA5"/>
    <w:rsid w:val="00E71CD8"/>
    <w:rsid w:val="00E72830"/>
    <w:rsid w:val="00E73258"/>
    <w:rsid w:val="00E77D89"/>
    <w:rsid w:val="00E80222"/>
    <w:rsid w:val="00E81B0F"/>
    <w:rsid w:val="00E81F03"/>
    <w:rsid w:val="00E832E2"/>
    <w:rsid w:val="00E847A2"/>
    <w:rsid w:val="00E85AB3"/>
    <w:rsid w:val="00E908C4"/>
    <w:rsid w:val="00E91E6C"/>
    <w:rsid w:val="00E94B1B"/>
    <w:rsid w:val="00E94FF7"/>
    <w:rsid w:val="00E96C84"/>
    <w:rsid w:val="00EA1CCD"/>
    <w:rsid w:val="00EA22FD"/>
    <w:rsid w:val="00EA2C16"/>
    <w:rsid w:val="00EB2FAC"/>
    <w:rsid w:val="00EB52E7"/>
    <w:rsid w:val="00EB7757"/>
    <w:rsid w:val="00EC35E7"/>
    <w:rsid w:val="00EC4AA9"/>
    <w:rsid w:val="00EC7B67"/>
    <w:rsid w:val="00ED396F"/>
    <w:rsid w:val="00EE1B99"/>
    <w:rsid w:val="00EE693C"/>
    <w:rsid w:val="00EF0463"/>
    <w:rsid w:val="00EF262C"/>
    <w:rsid w:val="00EF4F1D"/>
    <w:rsid w:val="00EF677D"/>
    <w:rsid w:val="00F01A0A"/>
    <w:rsid w:val="00F01E76"/>
    <w:rsid w:val="00F03C67"/>
    <w:rsid w:val="00F069AC"/>
    <w:rsid w:val="00F0710F"/>
    <w:rsid w:val="00F10642"/>
    <w:rsid w:val="00F10FEB"/>
    <w:rsid w:val="00F125DE"/>
    <w:rsid w:val="00F148CE"/>
    <w:rsid w:val="00F14F11"/>
    <w:rsid w:val="00F159A2"/>
    <w:rsid w:val="00F17108"/>
    <w:rsid w:val="00F2099D"/>
    <w:rsid w:val="00F22B0A"/>
    <w:rsid w:val="00F2323D"/>
    <w:rsid w:val="00F25611"/>
    <w:rsid w:val="00F26401"/>
    <w:rsid w:val="00F3003F"/>
    <w:rsid w:val="00F303D7"/>
    <w:rsid w:val="00F370D8"/>
    <w:rsid w:val="00F41E84"/>
    <w:rsid w:val="00F42552"/>
    <w:rsid w:val="00F42D90"/>
    <w:rsid w:val="00F431E5"/>
    <w:rsid w:val="00F46F7D"/>
    <w:rsid w:val="00F47282"/>
    <w:rsid w:val="00F50D43"/>
    <w:rsid w:val="00F50F4F"/>
    <w:rsid w:val="00F51E10"/>
    <w:rsid w:val="00F52A13"/>
    <w:rsid w:val="00F52E65"/>
    <w:rsid w:val="00F537FC"/>
    <w:rsid w:val="00F53A39"/>
    <w:rsid w:val="00F54FB2"/>
    <w:rsid w:val="00F62F40"/>
    <w:rsid w:val="00F724C9"/>
    <w:rsid w:val="00F73B74"/>
    <w:rsid w:val="00F75C6E"/>
    <w:rsid w:val="00F76771"/>
    <w:rsid w:val="00F83D46"/>
    <w:rsid w:val="00F844B0"/>
    <w:rsid w:val="00F90EC1"/>
    <w:rsid w:val="00F91C0C"/>
    <w:rsid w:val="00F929DA"/>
    <w:rsid w:val="00F95F82"/>
    <w:rsid w:val="00FA0D66"/>
    <w:rsid w:val="00FA3E1C"/>
    <w:rsid w:val="00FA3EDF"/>
    <w:rsid w:val="00FA49C2"/>
    <w:rsid w:val="00FA53AD"/>
    <w:rsid w:val="00FA636A"/>
    <w:rsid w:val="00FB07F3"/>
    <w:rsid w:val="00FB237E"/>
    <w:rsid w:val="00FB37BC"/>
    <w:rsid w:val="00FB54B8"/>
    <w:rsid w:val="00FB5DCC"/>
    <w:rsid w:val="00FB79C5"/>
    <w:rsid w:val="00FC097A"/>
    <w:rsid w:val="00FC332F"/>
    <w:rsid w:val="00FC4E36"/>
    <w:rsid w:val="00FC65D8"/>
    <w:rsid w:val="00FD0350"/>
    <w:rsid w:val="00FD15A3"/>
    <w:rsid w:val="00FD1EF4"/>
    <w:rsid w:val="00FD2113"/>
    <w:rsid w:val="00FD600C"/>
    <w:rsid w:val="00FD7188"/>
    <w:rsid w:val="00FE08A6"/>
    <w:rsid w:val="00FE2BDA"/>
    <w:rsid w:val="00FE369E"/>
    <w:rsid w:val="00FE3BE5"/>
    <w:rsid w:val="00FE6AB4"/>
    <w:rsid w:val="00FF0F87"/>
    <w:rsid w:val="00FF1571"/>
    <w:rsid w:val="00FF29F0"/>
    <w:rsid w:val="00FF6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9F6E"/>
  <w15:docId w15:val="{EFED3CD4-6085-43FF-A039-772943C4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5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F65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F65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F65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D90"/>
    <w:pPr>
      <w:ind w:left="720"/>
      <w:contextualSpacing/>
    </w:pPr>
  </w:style>
  <w:style w:type="character" w:customStyle="1" w:styleId="Titre1Car">
    <w:name w:val="Titre 1 Car"/>
    <w:basedOn w:val="Policepardfaut"/>
    <w:link w:val="Titre1"/>
    <w:rsid w:val="009F657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F657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F657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F657D"/>
    <w:rPr>
      <w:rFonts w:asciiTheme="majorHAnsi" w:eastAsiaTheme="majorEastAsia" w:hAnsiTheme="majorHAnsi" w:cstheme="majorBidi"/>
      <w:i/>
      <w:iCs/>
      <w:color w:val="2E74B5" w:themeColor="accent1" w:themeShade="BF"/>
    </w:rPr>
  </w:style>
  <w:style w:type="paragraph" w:styleId="Liste">
    <w:name w:val="List"/>
    <w:basedOn w:val="Normal"/>
    <w:uiPriority w:val="99"/>
    <w:unhideWhenUsed/>
    <w:rsid w:val="009F657D"/>
    <w:pPr>
      <w:ind w:left="283" w:hanging="283"/>
      <w:contextualSpacing/>
    </w:pPr>
  </w:style>
  <w:style w:type="paragraph" w:styleId="Liste2">
    <w:name w:val="List 2"/>
    <w:basedOn w:val="Normal"/>
    <w:uiPriority w:val="99"/>
    <w:unhideWhenUsed/>
    <w:rsid w:val="009F657D"/>
    <w:pPr>
      <w:ind w:left="566" w:hanging="283"/>
      <w:contextualSpacing/>
    </w:pPr>
  </w:style>
  <w:style w:type="paragraph" w:styleId="Liste3">
    <w:name w:val="List 3"/>
    <w:basedOn w:val="Normal"/>
    <w:uiPriority w:val="99"/>
    <w:unhideWhenUsed/>
    <w:rsid w:val="009F657D"/>
    <w:pPr>
      <w:ind w:left="849" w:hanging="283"/>
      <w:contextualSpacing/>
    </w:pPr>
  </w:style>
  <w:style w:type="paragraph" w:styleId="Listepuces2">
    <w:name w:val="List Bullet 2"/>
    <w:basedOn w:val="Normal"/>
    <w:uiPriority w:val="99"/>
    <w:unhideWhenUsed/>
    <w:rsid w:val="009F657D"/>
    <w:pPr>
      <w:numPr>
        <w:numId w:val="10"/>
      </w:numPr>
      <w:contextualSpacing/>
    </w:pPr>
  </w:style>
  <w:style w:type="paragraph" w:styleId="Corpsdetexte">
    <w:name w:val="Body Text"/>
    <w:basedOn w:val="Normal"/>
    <w:link w:val="CorpsdetexteCar"/>
    <w:uiPriority w:val="99"/>
    <w:unhideWhenUsed/>
    <w:rsid w:val="009F657D"/>
    <w:pPr>
      <w:spacing w:after="120"/>
    </w:pPr>
  </w:style>
  <w:style w:type="character" w:customStyle="1" w:styleId="CorpsdetexteCar">
    <w:name w:val="Corps de texte Car"/>
    <w:basedOn w:val="Policepardfaut"/>
    <w:link w:val="Corpsdetexte"/>
    <w:uiPriority w:val="99"/>
    <w:rsid w:val="009F657D"/>
  </w:style>
  <w:style w:type="paragraph" w:styleId="En-tte">
    <w:name w:val="header"/>
    <w:basedOn w:val="Normal"/>
    <w:link w:val="En-tteCar"/>
    <w:uiPriority w:val="99"/>
    <w:unhideWhenUsed/>
    <w:rsid w:val="00993683"/>
    <w:pPr>
      <w:tabs>
        <w:tab w:val="center" w:pos="4536"/>
        <w:tab w:val="right" w:pos="9072"/>
      </w:tabs>
      <w:spacing w:after="0" w:line="240" w:lineRule="auto"/>
    </w:pPr>
  </w:style>
  <w:style w:type="character" w:customStyle="1" w:styleId="En-tteCar">
    <w:name w:val="En-tête Car"/>
    <w:basedOn w:val="Policepardfaut"/>
    <w:link w:val="En-tte"/>
    <w:uiPriority w:val="99"/>
    <w:rsid w:val="00993683"/>
  </w:style>
  <w:style w:type="paragraph" w:styleId="Pieddepage">
    <w:name w:val="footer"/>
    <w:basedOn w:val="Normal"/>
    <w:link w:val="PieddepageCar"/>
    <w:uiPriority w:val="99"/>
    <w:unhideWhenUsed/>
    <w:rsid w:val="009936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683"/>
  </w:style>
  <w:style w:type="paragraph" w:styleId="Textedebulles">
    <w:name w:val="Balloon Text"/>
    <w:basedOn w:val="Normal"/>
    <w:link w:val="TextedebullesCar"/>
    <w:uiPriority w:val="99"/>
    <w:semiHidden/>
    <w:unhideWhenUsed/>
    <w:rsid w:val="005B284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2845"/>
    <w:rPr>
      <w:rFonts w:ascii="Segoe UI" w:hAnsi="Segoe UI" w:cs="Segoe UI"/>
      <w:sz w:val="18"/>
      <w:szCs w:val="18"/>
    </w:rPr>
  </w:style>
  <w:style w:type="character" w:styleId="Marquedecommentaire">
    <w:name w:val="annotation reference"/>
    <w:basedOn w:val="Policepardfaut"/>
    <w:uiPriority w:val="99"/>
    <w:unhideWhenUsed/>
    <w:rsid w:val="005B2845"/>
    <w:rPr>
      <w:sz w:val="16"/>
      <w:szCs w:val="16"/>
    </w:rPr>
  </w:style>
  <w:style w:type="paragraph" w:styleId="Commentaire">
    <w:name w:val="annotation text"/>
    <w:basedOn w:val="Normal"/>
    <w:link w:val="CommentaireCar"/>
    <w:uiPriority w:val="99"/>
    <w:unhideWhenUsed/>
    <w:rsid w:val="005B2845"/>
    <w:pPr>
      <w:spacing w:line="240" w:lineRule="auto"/>
    </w:pPr>
    <w:rPr>
      <w:sz w:val="20"/>
      <w:szCs w:val="20"/>
    </w:rPr>
  </w:style>
  <w:style w:type="character" w:customStyle="1" w:styleId="CommentaireCar">
    <w:name w:val="Commentaire Car"/>
    <w:basedOn w:val="Policepardfaut"/>
    <w:link w:val="Commentaire"/>
    <w:uiPriority w:val="99"/>
    <w:rsid w:val="005B2845"/>
    <w:rPr>
      <w:sz w:val="20"/>
      <w:szCs w:val="20"/>
    </w:rPr>
  </w:style>
  <w:style w:type="paragraph" w:styleId="Objetducommentaire">
    <w:name w:val="annotation subject"/>
    <w:basedOn w:val="Commentaire"/>
    <w:next w:val="Commentaire"/>
    <w:link w:val="ObjetducommentaireCar"/>
    <w:uiPriority w:val="99"/>
    <w:semiHidden/>
    <w:unhideWhenUsed/>
    <w:rsid w:val="005B2845"/>
    <w:rPr>
      <w:b/>
      <w:bCs/>
    </w:rPr>
  </w:style>
  <w:style w:type="character" w:customStyle="1" w:styleId="ObjetducommentaireCar">
    <w:name w:val="Objet du commentaire Car"/>
    <w:basedOn w:val="CommentaireCar"/>
    <w:link w:val="Objetducommentaire"/>
    <w:uiPriority w:val="99"/>
    <w:semiHidden/>
    <w:rsid w:val="005B2845"/>
    <w:rPr>
      <w:b/>
      <w:bCs/>
      <w:sz w:val="20"/>
      <w:szCs w:val="20"/>
    </w:rPr>
  </w:style>
  <w:style w:type="table" w:styleId="Grilledutableau">
    <w:name w:val="Table Grid"/>
    <w:basedOn w:val="TableauNormal"/>
    <w:uiPriority w:val="39"/>
    <w:rsid w:val="00F9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BA0BC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A0BC3"/>
    <w:rPr>
      <w:sz w:val="20"/>
      <w:szCs w:val="20"/>
    </w:rPr>
  </w:style>
  <w:style w:type="character" w:styleId="Appelnotedebasdep">
    <w:name w:val="footnote reference"/>
    <w:basedOn w:val="Policepardfaut"/>
    <w:uiPriority w:val="99"/>
    <w:semiHidden/>
    <w:unhideWhenUsed/>
    <w:rsid w:val="00BA0BC3"/>
    <w:rPr>
      <w:vertAlign w:val="superscript"/>
    </w:rPr>
  </w:style>
  <w:style w:type="paragraph" w:styleId="Rvision">
    <w:name w:val="Revision"/>
    <w:hidden/>
    <w:uiPriority w:val="99"/>
    <w:semiHidden/>
    <w:rsid w:val="002E01FD"/>
    <w:pPr>
      <w:spacing w:after="0" w:line="240" w:lineRule="auto"/>
    </w:pPr>
  </w:style>
  <w:style w:type="character" w:styleId="Lienhypertexte">
    <w:name w:val="Hyperlink"/>
    <w:basedOn w:val="Policepardfaut"/>
    <w:uiPriority w:val="99"/>
    <w:unhideWhenUsed/>
    <w:rsid w:val="00974B41"/>
    <w:rPr>
      <w:color w:val="0563C1" w:themeColor="hyperlink"/>
      <w:u w:val="single"/>
    </w:rPr>
  </w:style>
  <w:style w:type="character" w:styleId="Mentionnonrsolue">
    <w:name w:val="Unresolved Mention"/>
    <w:basedOn w:val="Policepardfaut"/>
    <w:uiPriority w:val="99"/>
    <w:semiHidden/>
    <w:unhideWhenUsed/>
    <w:rsid w:val="00974B41"/>
    <w:rPr>
      <w:color w:val="605E5C"/>
      <w:shd w:val="clear" w:color="auto" w:fill="E1DFDD"/>
    </w:rPr>
  </w:style>
  <w:style w:type="character" w:styleId="Numrodepage">
    <w:name w:val="page number"/>
    <w:basedOn w:val="Policepardfaut"/>
    <w:uiPriority w:val="99"/>
    <w:semiHidden/>
    <w:unhideWhenUsed/>
    <w:rsid w:val="009C1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562779">
      <w:bodyDiv w:val="1"/>
      <w:marLeft w:val="0"/>
      <w:marRight w:val="0"/>
      <w:marTop w:val="0"/>
      <w:marBottom w:val="0"/>
      <w:divBdr>
        <w:top w:val="none" w:sz="0" w:space="0" w:color="auto"/>
        <w:left w:val="none" w:sz="0" w:space="0" w:color="auto"/>
        <w:bottom w:val="none" w:sz="0" w:space="0" w:color="auto"/>
        <w:right w:val="none" w:sz="0" w:space="0" w:color="auto"/>
      </w:divBdr>
    </w:div>
    <w:div w:id="1147822321">
      <w:bodyDiv w:val="1"/>
      <w:marLeft w:val="0"/>
      <w:marRight w:val="0"/>
      <w:marTop w:val="0"/>
      <w:marBottom w:val="0"/>
      <w:divBdr>
        <w:top w:val="none" w:sz="0" w:space="0" w:color="auto"/>
        <w:left w:val="none" w:sz="0" w:space="0" w:color="auto"/>
        <w:bottom w:val="none" w:sz="0" w:space="0" w:color="auto"/>
        <w:right w:val="none" w:sz="0" w:space="0" w:color="auto"/>
      </w:divBdr>
    </w:div>
    <w:div w:id="1699238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0C1A8-6E16-41E9-AA29-0CE9C4E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Pages>
  <Words>1001</Words>
  <Characters>5509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4813</cp:lastModifiedBy>
  <cp:revision>102</cp:revision>
  <cp:lastPrinted>2023-06-30T14:16:00Z</cp:lastPrinted>
  <dcterms:created xsi:type="dcterms:W3CDTF">2023-03-21T07:40:00Z</dcterms:created>
  <dcterms:modified xsi:type="dcterms:W3CDTF">2023-07-02T19:34:00Z</dcterms:modified>
</cp:coreProperties>
</file>