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40FB54" w14:textId="77777777" w:rsidR="00AB7115" w:rsidRDefault="00AB7115" w:rsidP="00AB7115">
      <w:pPr>
        <w:pStyle w:val="Default"/>
        <w:jc w:val="center"/>
      </w:pPr>
    </w:p>
    <w:p w14:paraId="1DF6B3BD" w14:textId="507672DA" w:rsidR="00AB7115" w:rsidRDefault="000666CA" w:rsidP="00AB7115">
      <w:pPr>
        <w:pStyle w:val="Default"/>
        <w:jc w:val="center"/>
        <w:rPr>
          <w:b/>
          <w:bCs/>
          <w:sz w:val="28"/>
          <w:szCs w:val="28"/>
        </w:rPr>
      </w:pPr>
      <w:r>
        <w:rPr>
          <w:b/>
          <w:bCs/>
          <w:sz w:val="28"/>
          <w:szCs w:val="28"/>
        </w:rPr>
        <w:t xml:space="preserve">Revision of the World Bank Procurement Regulations for IPF Borrowers </w:t>
      </w:r>
    </w:p>
    <w:p w14:paraId="1C5A14A2" w14:textId="77777777" w:rsidR="000D7C9E" w:rsidRDefault="000D7C9E" w:rsidP="00AB7115">
      <w:pPr>
        <w:pStyle w:val="Default"/>
        <w:jc w:val="center"/>
        <w:rPr>
          <w:sz w:val="28"/>
          <w:szCs w:val="28"/>
        </w:rPr>
      </w:pPr>
    </w:p>
    <w:p w14:paraId="46D63C74" w14:textId="77777777" w:rsidR="00AB7115" w:rsidRPr="000D7C9E" w:rsidRDefault="00AB7115" w:rsidP="000D7C9E">
      <w:pPr>
        <w:pStyle w:val="Default"/>
        <w:jc w:val="center"/>
        <w:rPr>
          <w:color w:val="4472C4" w:themeColor="accent1"/>
          <w:sz w:val="28"/>
          <w:szCs w:val="28"/>
        </w:rPr>
      </w:pPr>
      <w:r w:rsidRPr="000D7C9E">
        <w:rPr>
          <w:b/>
          <w:bCs/>
          <w:color w:val="4472C4" w:themeColor="accent1"/>
          <w:sz w:val="28"/>
          <w:szCs w:val="28"/>
        </w:rPr>
        <w:t>August 2018</w:t>
      </w:r>
    </w:p>
    <w:p w14:paraId="571BF520" w14:textId="1F1403C2" w:rsidR="00E905A6" w:rsidRPr="000666CA" w:rsidRDefault="000666CA" w:rsidP="00AB7115">
      <w:pPr>
        <w:rPr>
          <w:rFonts w:ascii="Andes" w:eastAsia="Times New Roman" w:hAnsi="Andes" w:cs="Times New Roman"/>
          <w:color w:val="000000"/>
          <w:sz w:val="24"/>
          <w:szCs w:val="24"/>
          <w:lang w:val="en-AU"/>
        </w:rPr>
      </w:pPr>
      <w:r w:rsidRPr="000666CA">
        <w:rPr>
          <w:rFonts w:ascii="Andes" w:eastAsia="Times New Roman" w:hAnsi="Andes" w:cs="Times New Roman"/>
          <w:color w:val="000000"/>
          <w:sz w:val="24"/>
          <w:szCs w:val="24"/>
          <w:lang w:val="en-AU"/>
        </w:rPr>
        <w:t>The revision of August 1, 2018 reflects the updated requirements for the use of national procurement procedures. The revision adds a new paragraph 5.4 “d” designed to</w:t>
      </w:r>
      <w:r w:rsidR="00AB7115" w:rsidRPr="000666CA">
        <w:rPr>
          <w:rFonts w:ascii="Andes" w:eastAsia="Times New Roman" w:hAnsi="Andes" w:cs="Times New Roman"/>
          <w:color w:val="000000"/>
          <w:sz w:val="24"/>
          <w:szCs w:val="24"/>
          <w:lang w:val="en-AU"/>
        </w:rPr>
        <w:t xml:space="preserve"> </w:t>
      </w:r>
      <w:r>
        <w:rPr>
          <w:rFonts w:ascii="Andes" w:eastAsia="Times New Roman" w:hAnsi="Andes" w:cs="Times New Roman"/>
          <w:color w:val="000000"/>
          <w:sz w:val="24"/>
          <w:szCs w:val="24"/>
          <w:lang w:val="en-AU"/>
        </w:rPr>
        <w:t xml:space="preserve">mitigate against environmental, social (including sexual exploitation and abuse and gender-based violence), health and safety (“ESHS”) risks when using </w:t>
      </w:r>
      <w:r w:rsidR="00AB7115" w:rsidRPr="000666CA">
        <w:rPr>
          <w:rFonts w:ascii="Andes" w:eastAsia="Times New Roman" w:hAnsi="Andes" w:cs="Times New Roman"/>
          <w:color w:val="000000"/>
          <w:sz w:val="24"/>
          <w:szCs w:val="24"/>
          <w:lang w:val="en-AU"/>
        </w:rPr>
        <w:t>national procurement procedures</w:t>
      </w:r>
      <w:r>
        <w:rPr>
          <w:rFonts w:ascii="Andes" w:eastAsia="Times New Roman" w:hAnsi="Andes" w:cs="Times New Roman"/>
          <w:color w:val="000000"/>
          <w:sz w:val="24"/>
          <w:szCs w:val="24"/>
          <w:lang w:val="en-AU"/>
        </w:rPr>
        <w:t xml:space="preserve"> to approach the national market</w:t>
      </w:r>
      <w:r w:rsidRPr="000666CA">
        <w:rPr>
          <w:rFonts w:ascii="Andes" w:eastAsia="Times New Roman" w:hAnsi="Andes" w:cs="Times New Roman"/>
          <w:color w:val="000000"/>
          <w:sz w:val="24"/>
          <w:szCs w:val="24"/>
          <w:lang w:val="en-AU"/>
        </w:rPr>
        <w:t>.</w:t>
      </w:r>
    </w:p>
    <w:p w14:paraId="6697AFFA" w14:textId="77777777" w:rsidR="000D7C9E" w:rsidRPr="000D7C9E" w:rsidRDefault="000D7C9E" w:rsidP="000D7C9E">
      <w:pPr>
        <w:autoSpaceDE w:val="0"/>
        <w:autoSpaceDN w:val="0"/>
        <w:adjustRightInd w:val="0"/>
        <w:spacing w:after="0" w:line="240" w:lineRule="auto"/>
        <w:rPr>
          <w:rFonts w:ascii="Calibri" w:hAnsi="Calibri" w:cs="Calibri"/>
          <w:color w:val="000000"/>
          <w:sz w:val="24"/>
          <w:szCs w:val="24"/>
        </w:rPr>
      </w:pPr>
    </w:p>
    <w:p w14:paraId="6447047A" w14:textId="77777777" w:rsidR="000D7C9E" w:rsidRPr="000D7C9E" w:rsidRDefault="000D7C9E" w:rsidP="000D7C9E">
      <w:pPr>
        <w:autoSpaceDE w:val="0"/>
        <w:autoSpaceDN w:val="0"/>
        <w:adjustRightInd w:val="0"/>
        <w:spacing w:after="0" w:line="240" w:lineRule="auto"/>
        <w:jc w:val="center"/>
        <w:rPr>
          <w:rFonts w:ascii="Calibri" w:hAnsi="Calibri" w:cs="Calibri"/>
          <w:color w:val="4472C4" w:themeColor="accent1"/>
          <w:sz w:val="28"/>
          <w:szCs w:val="28"/>
        </w:rPr>
      </w:pPr>
      <w:r w:rsidRPr="000D7C9E">
        <w:rPr>
          <w:rFonts w:ascii="Calibri" w:hAnsi="Calibri" w:cs="Calibri"/>
          <w:b/>
          <w:bCs/>
          <w:color w:val="4472C4" w:themeColor="accent1"/>
          <w:sz w:val="28"/>
          <w:szCs w:val="28"/>
        </w:rPr>
        <w:t>November 2017</w:t>
      </w:r>
    </w:p>
    <w:p w14:paraId="1AEAB9B8" w14:textId="64ACE9F2" w:rsidR="000666CA" w:rsidRPr="000666CA" w:rsidRDefault="000666CA" w:rsidP="000D7C9E">
      <w:pPr>
        <w:rPr>
          <w:rFonts w:ascii="Andes" w:eastAsia="Times New Roman" w:hAnsi="Andes" w:cs="Times New Roman"/>
          <w:color w:val="000000"/>
          <w:sz w:val="24"/>
          <w:szCs w:val="24"/>
          <w:lang w:val="en-AU"/>
        </w:rPr>
      </w:pPr>
      <w:r w:rsidRPr="000666CA">
        <w:rPr>
          <w:rFonts w:ascii="Andes" w:eastAsia="Times New Roman" w:hAnsi="Andes" w:cs="Times New Roman"/>
          <w:color w:val="000000"/>
          <w:sz w:val="24"/>
          <w:szCs w:val="24"/>
          <w:lang w:val="en-AU"/>
        </w:rPr>
        <w:t>The revision</w:t>
      </w:r>
      <w:r w:rsidR="000D7C9E" w:rsidRPr="000666CA">
        <w:rPr>
          <w:rFonts w:ascii="Andes" w:eastAsia="Times New Roman" w:hAnsi="Andes" w:cs="Times New Roman"/>
          <w:color w:val="000000"/>
          <w:sz w:val="24"/>
          <w:szCs w:val="24"/>
          <w:lang w:val="en-AU"/>
        </w:rPr>
        <w:t xml:space="preserve"> of November 1, 2017, modifie</w:t>
      </w:r>
      <w:r w:rsidRPr="000666CA">
        <w:rPr>
          <w:rFonts w:ascii="Andes" w:eastAsia="Times New Roman" w:hAnsi="Andes" w:cs="Times New Roman"/>
          <w:color w:val="000000"/>
          <w:sz w:val="24"/>
          <w:szCs w:val="24"/>
          <w:lang w:val="en-AU"/>
        </w:rPr>
        <w:t>d</w:t>
      </w:r>
      <w:r w:rsidR="000D7C9E" w:rsidRPr="000666CA">
        <w:rPr>
          <w:rFonts w:ascii="Andes" w:eastAsia="Times New Roman" w:hAnsi="Andes" w:cs="Times New Roman"/>
          <w:color w:val="000000"/>
          <w:sz w:val="24"/>
          <w:szCs w:val="24"/>
          <w:lang w:val="en-AU"/>
        </w:rPr>
        <w:t xml:space="preserve"> the original para</w:t>
      </w:r>
      <w:r w:rsidRPr="000666CA">
        <w:rPr>
          <w:rFonts w:ascii="Andes" w:eastAsia="Times New Roman" w:hAnsi="Andes" w:cs="Times New Roman"/>
          <w:color w:val="000000"/>
          <w:sz w:val="24"/>
          <w:szCs w:val="24"/>
          <w:lang w:val="en-AU"/>
        </w:rPr>
        <w:t>graph</w:t>
      </w:r>
      <w:r w:rsidR="000D7C9E" w:rsidRPr="000666CA">
        <w:rPr>
          <w:rFonts w:ascii="Andes" w:eastAsia="Times New Roman" w:hAnsi="Andes" w:cs="Times New Roman"/>
          <w:color w:val="000000"/>
          <w:sz w:val="24"/>
          <w:szCs w:val="24"/>
          <w:lang w:val="en-AU"/>
        </w:rPr>
        <w:t xml:space="preserve"> 5.94 (Contract Award Notice) by adding a new sentence (para. 5.94 “f”) that introduces Borrower’s obligation to publish the “Successful Bidder/Proposer/Consultant’s Beneficial Ownership Disclosure Form…” </w:t>
      </w:r>
      <w:r w:rsidRPr="000666CA">
        <w:rPr>
          <w:rFonts w:ascii="Andes" w:eastAsia="Times New Roman" w:hAnsi="Andes" w:cs="Times New Roman"/>
          <w:color w:val="000000"/>
          <w:sz w:val="24"/>
          <w:szCs w:val="24"/>
          <w:lang w:val="en-AU"/>
        </w:rPr>
        <w:t>A</w:t>
      </w:r>
      <w:r w:rsidR="000D7C9E" w:rsidRPr="000666CA">
        <w:rPr>
          <w:rFonts w:ascii="Andes" w:eastAsia="Times New Roman" w:hAnsi="Andes" w:cs="Times New Roman"/>
          <w:color w:val="000000"/>
          <w:sz w:val="24"/>
          <w:szCs w:val="24"/>
          <w:lang w:val="en-AU"/>
        </w:rPr>
        <w:t xml:space="preserve"> few editorial/non-substantive revisions of the Procurement Regulations </w:t>
      </w:r>
      <w:r w:rsidRPr="000666CA">
        <w:rPr>
          <w:rFonts w:ascii="Andes" w:eastAsia="Times New Roman" w:hAnsi="Andes" w:cs="Times New Roman"/>
          <w:color w:val="000000"/>
          <w:sz w:val="24"/>
          <w:szCs w:val="24"/>
          <w:lang w:val="en-AU"/>
        </w:rPr>
        <w:t>were also</w:t>
      </w:r>
      <w:r w:rsidR="000D7C9E" w:rsidRPr="000666CA">
        <w:rPr>
          <w:rFonts w:ascii="Andes" w:eastAsia="Times New Roman" w:hAnsi="Andes" w:cs="Times New Roman"/>
          <w:color w:val="000000"/>
          <w:sz w:val="24"/>
          <w:szCs w:val="24"/>
          <w:lang w:val="en-AU"/>
        </w:rPr>
        <w:t xml:space="preserve"> reflected in this publication. These revisions clarify and ensure consistency with the intent of a few of the original provisions of the Regulations. </w:t>
      </w:r>
    </w:p>
    <w:p w14:paraId="4653DD97" w14:textId="44CAB6D5" w:rsidR="000D7C9E" w:rsidRDefault="00D41451" w:rsidP="000D7C9E">
      <w:pPr>
        <w:rPr>
          <w:rFonts w:ascii="Andes" w:eastAsia="Times New Roman" w:hAnsi="Andes" w:cs="Times New Roman"/>
          <w:color w:val="4472C4" w:themeColor="accent1"/>
          <w:sz w:val="24"/>
          <w:szCs w:val="24"/>
          <w:lang w:val="en-AU"/>
        </w:rPr>
      </w:pPr>
      <w:r>
        <w:rPr>
          <w:rFonts w:ascii="Andes" w:eastAsia="Times New Roman" w:hAnsi="Andes" w:cs="Times New Roman"/>
          <w:color w:val="4472C4" w:themeColor="accent1"/>
          <w:sz w:val="24"/>
          <w:szCs w:val="24"/>
          <w:lang w:val="en-AU"/>
        </w:rPr>
        <w:t>The</w:t>
      </w:r>
      <w:r w:rsidR="000666CA" w:rsidRPr="000666CA">
        <w:rPr>
          <w:rFonts w:ascii="Andes" w:eastAsia="Times New Roman" w:hAnsi="Andes" w:cs="Times New Roman"/>
          <w:color w:val="4472C4" w:themeColor="accent1"/>
          <w:sz w:val="24"/>
          <w:szCs w:val="24"/>
          <w:lang w:val="en-AU"/>
        </w:rPr>
        <w:t xml:space="preserve"> Financing Agreement for </w:t>
      </w:r>
      <w:r w:rsidR="000666CA">
        <w:rPr>
          <w:rFonts w:ascii="Andes" w:eastAsia="Times New Roman" w:hAnsi="Andes" w:cs="Times New Roman"/>
          <w:color w:val="4472C4" w:themeColor="accent1"/>
          <w:sz w:val="24"/>
          <w:szCs w:val="24"/>
          <w:lang w:val="en-AU"/>
        </w:rPr>
        <w:t>the</w:t>
      </w:r>
      <w:r w:rsidR="000666CA" w:rsidRPr="000666CA">
        <w:rPr>
          <w:rFonts w:ascii="Andes" w:eastAsia="Times New Roman" w:hAnsi="Andes" w:cs="Times New Roman"/>
          <w:color w:val="4472C4" w:themeColor="accent1"/>
          <w:sz w:val="24"/>
          <w:szCs w:val="24"/>
          <w:lang w:val="en-AU"/>
        </w:rPr>
        <w:t xml:space="preserve"> project </w:t>
      </w:r>
      <w:r>
        <w:rPr>
          <w:rFonts w:ascii="Andes" w:eastAsia="Times New Roman" w:hAnsi="Andes" w:cs="Times New Roman"/>
          <w:color w:val="4472C4" w:themeColor="accent1"/>
          <w:sz w:val="24"/>
          <w:szCs w:val="24"/>
          <w:lang w:val="en-AU"/>
        </w:rPr>
        <w:t>determines</w:t>
      </w:r>
      <w:r w:rsidR="000666CA" w:rsidRPr="000666CA">
        <w:rPr>
          <w:rFonts w:ascii="Andes" w:eastAsia="Times New Roman" w:hAnsi="Andes" w:cs="Times New Roman"/>
          <w:color w:val="4472C4" w:themeColor="accent1"/>
          <w:sz w:val="24"/>
          <w:szCs w:val="24"/>
          <w:lang w:val="en-AU"/>
        </w:rPr>
        <w:t xml:space="preserve"> the version of the Procurement Regulations that applies</w:t>
      </w:r>
      <w:r>
        <w:rPr>
          <w:rFonts w:ascii="Andes" w:eastAsia="Times New Roman" w:hAnsi="Andes" w:cs="Times New Roman"/>
          <w:color w:val="4472C4" w:themeColor="accent1"/>
          <w:sz w:val="24"/>
          <w:szCs w:val="24"/>
          <w:lang w:val="en-AU"/>
        </w:rPr>
        <w:t xml:space="preserve"> for the specific project.</w:t>
      </w:r>
    </w:p>
    <w:p w14:paraId="0C3CE7AD" w14:textId="77777777" w:rsidR="002C3EE8" w:rsidRDefault="002C3EE8" w:rsidP="002C3EE8">
      <w:pPr>
        <w:pStyle w:val="Default"/>
        <w:jc w:val="center"/>
        <w:rPr>
          <w:rFonts w:ascii="Andes" w:eastAsia="Times New Roman" w:hAnsi="Andes" w:cs="Times New Roman"/>
          <w:color w:val="4472C4" w:themeColor="accent1"/>
          <w:lang w:val="en-AU"/>
        </w:rPr>
      </w:pPr>
    </w:p>
    <w:p w14:paraId="663A7275" w14:textId="77777777" w:rsidR="002C3EE8" w:rsidRPr="002C3EE8" w:rsidRDefault="002C3EE8" w:rsidP="002C3EE8">
      <w:pPr>
        <w:pStyle w:val="Default"/>
        <w:jc w:val="center"/>
        <w:rPr>
          <w:b/>
          <w:bCs/>
          <w:sz w:val="28"/>
          <w:szCs w:val="28"/>
        </w:rPr>
      </w:pPr>
      <w:r w:rsidRPr="002C3EE8">
        <w:rPr>
          <w:b/>
          <w:bCs/>
          <w:sz w:val="28"/>
          <w:szCs w:val="28"/>
        </w:rPr>
        <w:t>Révision du Règlement de passation des marchés de la Banque mondiale pour les emprunteurs IPF</w:t>
      </w:r>
    </w:p>
    <w:p w14:paraId="6B45D568" w14:textId="77777777" w:rsidR="002C3EE8" w:rsidRPr="002C3EE8" w:rsidRDefault="002C3EE8" w:rsidP="002C3EE8">
      <w:pPr>
        <w:pStyle w:val="Default"/>
        <w:jc w:val="center"/>
        <w:rPr>
          <w:b/>
          <w:bCs/>
          <w:sz w:val="28"/>
          <w:szCs w:val="28"/>
        </w:rPr>
      </w:pPr>
    </w:p>
    <w:p w14:paraId="7118EDFD" w14:textId="77777777" w:rsidR="002C3EE8" w:rsidRPr="002C3EE8" w:rsidRDefault="002C3EE8" w:rsidP="002C3EE8">
      <w:pPr>
        <w:pStyle w:val="Default"/>
        <w:jc w:val="center"/>
        <w:rPr>
          <w:b/>
          <w:bCs/>
          <w:color w:val="4472C4" w:themeColor="accent1"/>
          <w:sz w:val="28"/>
          <w:szCs w:val="28"/>
        </w:rPr>
      </w:pPr>
      <w:r w:rsidRPr="002C3EE8">
        <w:rPr>
          <w:b/>
          <w:bCs/>
          <w:color w:val="4472C4" w:themeColor="accent1"/>
          <w:sz w:val="28"/>
          <w:szCs w:val="28"/>
        </w:rPr>
        <w:t>Août 2018</w:t>
      </w:r>
    </w:p>
    <w:p w14:paraId="646F02D0" w14:textId="77777777" w:rsidR="002C3EE8" w:rsidRPr="002C3EE8" w:rsidRDefault="002C3EE8" w:rsidP="002C3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es" w:eastAsia="Times New Roman" w:hAnsi="Andes" w:cs="Times New Roman"/>
          <w:color w:val="000000"/>
          <w:sz w:val="24"/>
          <w:szCs w:val="24"/>
          <w:lang w:val="en-AU"/>
        </w:rPr>
      </w:pPr>
      <w:r w:rsidRPr="002C3EE8">
        <w:rPr>
          <w:rFonts w:ascii="Andes" w:eastAsia="Times New Roman" w:hAnsi="Andes" w:cs="Times New Roman"/>
          <w:color w:val="000000"/>
          <w:sz w:val="24"/>
          <w:szCs w:val="24"/>
          <w:lang w:val="en-AU"/>
        </w:rPr>
        <w:t>La révision du 1er août 2018 reflète les exigences mises à jour pour l'utilisation des procédures nationales de passation de marchés. La révision ajoute un nouveau paragraphe 5.4 «d» conçu pour atténuer les risques environnementaux, sociaux (y compris l'exploitation et les abus sexuels et la violence sexiste), la santé et la sécurité («ESHS») lors de l'utilisation des procédures nationales de passation des marchés pour approcher le marché national.</w:t>
      </w:r>
    </w:p>
    <w:p w14:paraId="11CBC1CD" w14:textId="77777777" w:rsidR="002C3EE8" w:rsidRPr="002C3EE8" w:rsidRDefault="002C3EE8" w:rsidP="002C3EE8">
      <w:pPr>
        <w:pStyle w:val="Default"/>
        <w:jc w:val="center"/>
        <w:rPr>
          <w:rFonts w:ascii="Andes" w:eastAsia="Times New Roman" w:hAnsi="Andes" w:cs="Times New Roman"/>
          <w:lang w:val="en-AU"/>
        </w:rPr>
      </w:pPr>
    </w:p>
    <w:p w14:paraId="50D69FF3" w14:textId="77777777" w:rsidR="002C3EE8" w:rsidRPr="002C3EE8" w:rsidRDefault="002C3EE8" w:rsidP="002C3EE8">
      <w:pPr>
        <w:pStyle w:val="Default"/>
        <w:jc w:val="center"/>
        <w:rPr>
          <w:b/>
          <w:bCs/>
          <w:color w:val="4472C4" w:themeColor="accent1"/>
          <w:sz w:val="28"/>
          <w:szCs w:val="28"/>
        </w:rPr>
      </w:pPr>
      <w:r w:rsidRPr="002C3EE8">
        <w:rPr>
          <w:b/>
          <w:bCs/>
          <w:color w:val="4472C4" w:themeColor="accent1"/>
          <w:sz w:val="28"/>
          <w:szCs w:val="28"/>
        </w:rPr>
        <w:t>Novembre 2017</w:t>
      </w:r>
    </w:p>
    <w:p w14:paraId="54C31C3F" w14:textId="77777777" w:rsidR="002C3EE8" w:rsidRDefault="002C3EE8" w:rsidP="002C3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es" w:eastAsia="Times New Roman" w:hAnsi="Andes" w:cs="Times New Roman"/>
          <w:color w:val="000000"/>
          <w:sz w:val="24"/>
          <w:szCs w:val="24"/>
          <w:lang w:val="en-AU"/>
        </w:rPr>
      </w:pPr>
      <w:r w:rsidRPr="002C3EE8">
        <w:rPr>
          <w:rFonts w:ascii="Andes" w:eastAsia="Times New Roman" w:hAnsi="Andes" w:cs="Times New Roman"/>
          <w:color w:val="000000"/>
          <w:sz w:val="24"/>
          <w:szCs w:val="24"/>
          <w:lang w:val="en-AU"/>
        </w:rPr>
        <w:t xml:space="preserve">La révision du 1er novembre 2017 a modifié le paragraphe 5.94 (Avis d'attribution de marché) en ajoutant une nouvelle phrase (par. 5.94 «f») qui introduit l'obligation de l'Emprunteur de publier le «Formulaire de divulgation de la propriété effective du soumissionnaire / proposant / consultant retenu… ”Quelques révisions rédactionnelles / non substantielles du Règlement des achats ont également été reflétées dans cette publication. Ces révisions clarifient </w:t>
      </w:r>
      <w:proofErr w:type="gramStart"/>
      <w:r w:rsidRPr="002C3EE8">
        <w:rPr>
          <w:rFonts w:ascii="Andes" w:eastAsia="Times New Roman" w:hAnsi="Andes" w:cs="Times New Roman"/>
          <w:color w:val="000000"/>
          <w:sz w:val="24"/>
          <w:szCs w:val="24"/>
          <w:lang w:val="en-AU"/>
        </w:rPr>
        <w:t>et</w:t>
      </w:r>
      <w:proofErr w:type="gramEnd"/>
      <w:r w:rsidRPr="002C3EE8">
        <w:rPr>
          <w:rFonts w:ascii="Andes" w:eastAsia="Times New Roman" w:hAnsi="Andes" w:cs="Times New Roman"/>
          <w:color w:val="000000"/>
          <w:sz w:val="24"/>
          <w:szCs w:val="24"/>
          <w:lang w:val="en-AU"/>
        </w:rPr>
        <w:t xml:space="preserve"> assurent la cohérence avec l'intention de quelques-unes des dispositions </w:t>
      </w:r>
      <w:proofErr w:type="spellStart"/>
      <w:r w:rsidRPr="002C3EE8">
        <w:rPr>
          <w:rFonts w:ascii="Andes" w:eastAsia="Times New Roman" w:hAnsi="Andes" w:cs="Times New Roman"/>
          <w:color w:val="000000"/>
          <w:sz w:val="24"/>
          <w:szCs w:val="24"/>
          <w:lang w:val="en-AU"/>
        </w:rPr>
        <w:t>originales</w:t>
      </w:r>
      <w:proofErr w:type="spellEnd"/>
      <w:r w:rsidRPr="002C3EE8">
        <w:rPr>
          <w:rFonts w:ascii="Andes" w:eastAsia="Times New Roman" w:hAnsi="Andes" w:cs="Times New Roman"/>
          <w:color w:val="000000"/>
          <w:sz w:val="24"/>
          <w:szCs w:val="24"/>
          <w:lang w:val="en-AU"/>
        </w:rPr>
        <w:t xml:space="preserve"> du </w:t>
      </w:r>
      <w:proofErr w:type="spellStart"/>
      <w:r w:rsidRPr="002C3EE8">
        <w:rPr>
          <w:rFonts w:ascii="Andes" w:eastAsia="Times New Roman" w:hAnsi="Andes" w:cs="Times New Roman"/>
          <w:color w:val="000000"/>
          <w:sz w:val="24"/>
          <w:szCs w:val="24"/>
          <w:lang w:val="en-AU"/>
        </w:rPr>
        <w:t>Règlement</w:t>
      </w:r>
      <w:proofErr w:type="spellEnd"/>
      <w:r w:rsidRPr="002C3EE8">
        <w:rPr>
          <w:rFonts w:ascii="Andes" w:eastAsia="Times New Roman" w:hAnsi="Andes" w:cs="Times New Roman"/>
          <w:color w:val="000000"/>
          <w:sz w:val="24"/>
          <w:szCs w:val="24"/>
          <w:lang w:val="en-AU"/>
        </w:rPr>
        <w:t>.</w:t>
      </w:r>
    </w:p>
    <w:p w14:paraId="5B576E3F" w14:textId="77777777" w:rsidR="002C3EE8" w:rsidRPr="002C3EE8" w:rsidRDefault="002C3EE8" w:rsidP="002C3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es" w:eastAsia="Times New Roman" w:hAnsi="Andes" w:cs="Times New Roman"/>
          <w:color w:val="000000"/>
          <w:sz w:val="24"/>
          <w:szCs w:val="24"/>
          <w:lang w:val="en-AU"/>
        </w:rPr>
      </w:pPr>
    </w:p>
    <w:p w14:paraId="5C1F7719" w14:textId="77777777" w:rsidR="002C3EE8" w:rsidRPr="002C3EE8" w:rsidRDefault="002C3EE8" w:rsidP="002C3EE8">
      <w:pPr>
        <w:rPr>
          <w:rFonts w:ascii="Andes" w:eastAsia="Times New Roman" w:hAnsi="Andes" w:cs="Times New Roman"/>
          <w:color w:val="4472C4" w:themeColor="accent1"/>
          <w:sz w:val="24"/>
          <w:szCs w:val="24"/>
          <w:lang w:val="en-AU"/>
        </w:rPr>
      </w:pPr>
      <w:r w:rsidRPr="002C3EE8">
        <w:rPr>
          <w:rFonts w:ascii="Andes" w:eastAsia="Times New Roman" w:hAnsi="Andes" w:cs="Times New Roman"/>
          <w:color w:val="4472C4" w:themeColor="accent1"/>
          <w:sz w:val="24"/>
          <w:szCs w:val="24"/>
          <w:lang w:val="en-AU"/>
        </w:rPr>
        <w:t>L'accord de financement du projet détermine la version du règlement de passation des marchés qui s'applique au projet spécifique.</w:t>
      </w:r>
    </w:p>
    <w:p w14:paraId="17908794" w14:textId="77777777" w:rsidR="002C3EE8" w:rsidRPr="000666CA" w:rsidRDefault="002C3EE8" w:rsidP="000D7C9E">
      <w:pPr>
        <w:rPr>
          <w:rFonts w:ascii="Andes" w:eastAsia="Times New Roman" w:hAnsi="Andes" w:cs="Times New Roman"/>
          <w:color w:val="4472C4" w:themeColor="accent1"/>
          <w:sz w:val="24"/>
          <w:szCs w:val="24"/>
          <w:lang w:val="en-AU"/>
        </w:rPr>
      </w:pPr>
      <w:bookmarkStart w:id="0" w:name="_GoBack"/>
      <w:bookmarkEnd w:id="0"/>
    </w:p>
    <w:sectPr w:rsidR="002C3EE8" w:rsidRPr="00066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ndes">
    <w:altName w:val="Times New Roman"/>
    <w:panose1 w:val="00000000000000000000"/>
    <w:charset w:val="00"/>
    <w:family w:val="modern"/>
    <w:notTrueType/>
    <w:pitch w:val="variable"/>
    <w:sig w:usb0="00000001" w:usb1="5000005B"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15"/>
    <w:rsid w:val="000666CA"/>
    <w:rsid w:val="000D7C9E"/>
    <w:rsid w:val="0011340A"/>
    <w:rsid w:val="002C3EE8"/>
    <w:rsid w:val="005B2B06"/>
    <w:rsid w:val="007E5C38"/>
    <w:rsid w:val="00AB7115"/>
    <w:rsid w:val="00B031AC"/>
    <w:rsid w:val="00D41451"/>
    <w:rsid w:val="00E90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9FAD"/>
  <w15:chartTrackingRefBased/>
  <w15:docId w15:val="{516F6730-8607-4E27-968E-FD0BCC3E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7115"/>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0666CA"/>
    <w:rPr>
      <w:color w:val="0563C1" w:themeColor="hyperlink"/>
      <w:u w:val="single"/>
    </w:rPr>
  </w:style>
  <w:style w:type="character" w:customStyle="1" w:styleId="UnresolvedMention">
    <w:name w:val="Unresolved Mention"/>
    <w:basedOn w:val="Policepardfaut"/>
    <w:uiPriority w:val="99"/>
    <w:semiHidden/>
    <w:unhideWhenUsed/>
    <w:rsid w:val="000666CA"/>
    <w:rPr>
      <w:color w:val="808080"/>
      <w:shd w:val="clear" w:color="auto" w:fill="E6E6E6"/>
    </w:rPr>
  </w:style>
  <w:style w:type="paragraph" w:styleId="PrformatHTML">
    <w:name w:val="HTML Preformatted"/>
    <w:basedOn w:val="Normal"/>
    <w:link w:val="PrformatHTMLCar"/>
    <w:uiPriority w:val="99"/>
    <w:semiHidden/>
    <w:unhideWhenUsed/>
    <w:rsid w:val="002C3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2C3EE8"/>
    <w:rPr>
      <w:rFonts w:ascii="Courier New" w:eastAsia="Times New Roman" w:hAnsi="Courier New" w:cs="Courier New"/>
      <w:sz w:val="20"/>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849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2021</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Diomedes Berroa;BASS CONSULTING</dc:creator>
  <cp:keywords>FORMATION PMP</cp:keywords>
  <dc:description/>
  <cp:lastModifiedBy>BASS ENTREPRISES</cp:lastModifiedBy>
  <cp:revision>2</cp:revision>
  <dcterms:created xsi:type="dcterms:W3CDTF">2020-10-18T13:49:00Z</dcterms:created>
  <dcterms:modified xsi:type="dcterms:W3CDTF">2020-10-18T13:49:00Z</dcterms:modified>
</cp:coreProperties>
</file>