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73D2C" w14:textId="23B27529" w:rsidR="00FC69AF" w:rsidRDefault="002E0524" w:rsidP="002E0524">
      <w:pPr>
        <w:pStyle w:val="Titre1"/>
        <w:spacing w:before="0" w:after="0"/>
        <w:jc w:val="center"/>
        <w:rPr>
          <w:rFonts w:ascii="Aptos" w:hAnsi="Aptos"/>
          <w:color w:val="002060"/>
          <w:sz w:val="28"/>
          <w:szCs w:val="28"/>
          <w:lang w:val="fr-FR"/>
        </w:rPr>
      </w:pPr>
      <w:r w:rsidRPr="002E0524">
        <w:rPr>
          <w:rFonts w:ascii="Aptos" w:hAnsi="Aptos"/>
          <w:color w:val="002060"/>
          <w:sz w:val="28"/>
          <w:szCs w:val="28"/>
          <w:lang w:val="fr-FR"/>
        </w:rPr>
        <w:t>Les systèmes de santé africains à la croisée des chemins : digitalisation, gouvernance et résilience logistique</w:t>
      </w:r>
    </w:p>
    <w:p w14:paraId="10455EEB" w14:textId="77777777" w:rsidR="002E0524" w:rsidRPr="002E0524" w:rsidRDefault="002E0524" w:rsidP="002E0524">
      <w:pPr>
        <w:pStyle w:val="Titre1"/>
        <w:spacing w:before="0" w:after="0"/>
        <w:jc w:val="center"/>
        <w:rPr>
          <w:rFonts w:ascii="Aptos" w:hAnsi="Aptos"/>
          <w:color w:val="002060"/>
          <w:sz w:val="28"/>
          <w:szCs w:val="28"/>
          <w:lang w:val="fr-FR"/>
        </w:rPr>
      </w:pPr>
    </w:p>
    <w:p w14:paraId="02B27AE8" w14:textId="77777777" w:rsidR="00FC69AF" w:rsidRPr="002E0524" w:rsidRDefault="002E0524" w:rsidP="002E0524">
      <w:pPr>
        <w:ind w:firstLine="720"/>
        <w:jc w:val="both"/>
        <w:rPr>
          <w:rFonts w:ascii="Aptos" w:hAnsi="Aptos"/>
          <w:sz w:val="24"/>
          <w:szCs w:val="24"/>
          <w:lang w:val="fr-FR"/>
        </w:rPr>
      </w:pPr>
      <w:r w:rsidRPr="002E0524">
        <w:rPr>
          <w:rFonts w:ascii="Aptos" w:hAnsi="Aptos"/>
          <w:sz w:val="24"/>
          <w:szCs w:val="24"/>
          <w:lang w:val="fr-FR"/>
        </w:rPr>
        <w:t>Chaque année, des milliers de patients africains ne reçoivent pas les soins dont ils ont besoin — non pas parce que les médicaments n’existent pas, mais parce que les systèmes chargés de les acheminer, de les tracer et de les gérer sont défaillants. Ce con</w:t>
      </w:r>
      <w:r w:rsidRPr="002E0524">
        <w:rPr>
          <w:rFonts w:ascii="Aptos" w:hAnsi="Aptos"/>
          <w:sz w:val="24"/>
          <w:szCs w:val="24"/>
          <w:lang w:val="fr-FR"/>
        </w:rPr>
        <w:t>stat, aussi brutal soit-il, révèle une vérité fondamentale : la performance d’un système de santé ne se mesure pas à ses intentions, mais à sa capacité opérationnelle à délivrer des résultats concrets pour les populations.</w:t>
      </w:r>
    </w:p>
    <w:p w14:paraId="1421D96C" w14:textId="77777777" w:rsidR="00FC69AF" w:rsidRPr="002E0524" w:rsidRDefault="002E0524" w:rsidP="002E0524">
      <w:pPr>
        <w:jc w:val="both"/>
        <w:rPr>
          <w:rFonts w:ascii="Aptos" w:hAnsi="Aptos"/>
          <w:sz w:val="24"/>
          <w:szCs w:val="24"/>
          <w:lang w:val="fr-FR"/>
        </w:rPr>
      </w:pPr>
      <w:r w:rsidRPr="002E0524">
        <w:rPr>
          <w:rFonts w:ascii="Aptos" w:hAnsi="Aptos"/>
          <w:sz w:val="24"/>
          <w:szCs w:val="24"/>
          <w:lang w:val="fr-FR"/>
        </w:rPr>
        <w:t>Les systèmes de santé africains t</w:t>
      </w:r>
      <w:r w:rsidRPr="002E0524">
        <w:rPr>
          <w:rFonts w:ascii="Aptos" w:hAnsi="Aptos"/>
          <w:sz w:val="24"/>
          <w:szCs w:val="24"/>
          <w:lang w:val="fr-FR"/>
        </w:rPr>
        <w:t>raversent aujourd’hui une période charnière. Les crises sanitaires récentes, les tensions sur les chaînes d’approvisionnement mondiales, la croissance rapide des besoins des populations et l’accélération de la transformation numérique ont profondément modi</w:t>
      </w:r>
      <w:r w:rsidRPr="002E0524">
        <w:rPr>
          <w:rFonts w:ascii="Aptos" w:hAnsi="Aptos"/>
          <w:sz w:val="24"/>
          <w:szCs w:val="24"/>
          <w:lang w:val="fr-FR"/>
        </w:rPr>
        <w:t>fié les exigences auxquelles les États doivent répondre. Selon l’Organisation mondiale de la Santé, le renforcement des systèmes de santé constitue l’un des leviers majeurs pour atteindre la couverture sanitaire universelle et améliorer durablement la rési</w:t>
      </w:r>
      <w:r w:rsidRPr="002E0524">
        <w:rPr>
          <w:rFonts w:ascii="Aptos" w:hAnsi="Aptos"/>
          <w:sz w:val="24"/>
          <w:szCs w:val="24"/>
          <w:lang w:val="fr-FR"/>
        </w:rPr>
        <w:t>lience des pays [1].</w:t>
      </w:r>
    </w:p>
    <w:p w14:paraId="719EAE1E" w14:textId="77777777" w:rsidR="00FC69AF" w:rsidRPr="002E0524" w:rsidRDefault="002E0524" w:rsidP="002E0524">
      <w:pPr>
        <w:pStyle w:val="Titre2"/>
        <w:spacing w:after="0"/>
        <w:jc w:val="both"/>
        <w:rPr>
          <w:rFonts w:ascii="Aptos" w:hAnsi="Aptos"/>
          <w:color w:val="C45911" w:themeColor="accent2" w:themeShade="BF"/>
          <w:lang w:val="fr-FR"/>
        </w:rPr>
      </w:pPr>
      <w:r w:rsidRPr="002E0524">
        <w:rPr>
          <w:rFonts w:ascii="Aptos" w:hAnsi="Aptos"/>
          <w:color w:val="C45911" w:themeColor="accent2" w:themeShade="BF"/>
          <w:lang w:val="fr-FR"/>
        </w:rPr>
        <w:t>Des défis structurels qui persistent</w:t>
      </w:r>
    </w:p>
    <w:p w14:paraId="6F8ABA58" w14:textId="77777777" w:rsidR="00FC69AF" w:rsidRPr="002E0524" w:rsidRDefault="002E0524" w:rsidP="002E0524">
      <w:pPr>
        <w:ind w:firstLine="720"/>
        <w:jc w:val="both"/>
        <w:rPr>
          <w:rFonts w:ascii="Aptos" w:hAnsi="Aptos"/>
          <w:sz w:val="24"/>
          <w:szCs w:val="24"/>
          <w:lang w:val="fr-FR"/>
        </w:rPr>
      </w:pPr>
      <w:r w:rsidRPr="002E0524">
        <w:rPr>
          <w:rFonts w:ascii="Aptos" w:hAnsi="Aptos"/>
          <w:sz w:val="24"/>
          <w:szCs w:val="24"/>
          <w:lang w:val="fr-FR"/>
        </w:rPr>
        <w:t>En Afrique, les défis demeurent considérables. La fragmentation des données, les difficultés de coordination institutionnelle, les ruptures récurrentes de produits de santé et les limites des infras</w:t>
      </w:r>
      <w:r w:rsidRPr="002E0524">
        <w:rPr>
          <w:rFonts w:ascii="Aptos" w:hAnsi="Aptos"/>
          <w:sz w:val="24"/>
          <w:szCs w:val="24"/>
          <w:lang w:val="fr-FR"/>
        </w:rPr>
        <w:t>tructures logistiques continuent d’affecter profondément la qualité des soins et l’accès des populations aux produits essentiels.</w:t>
      </w:r>
    </w:p>
    <w:p w14:paraId="381BAF24" w14:textId="6DBB3ECA" w:rsidR="00FC69AF" w:rsidRPr="002E0524" w:rsidRDefault="002E0524" w:rsidP="002E0524">
      <w:pPr>
        <w:jc w:val="both"/>
        <w:rPr>
          <w:rFonts w:ascii="Aptos" w:hAnsi="Aptos"/>
          <w:sz w:val="24"/>
          <w:szCs w:val="24"/>
          <w:lang w:val="fr-FR"/>
        </w:rPr>
      </w:pPr>
      <w:r w:rsidRPr="002E0524">
        <w:rPr>
          <w:rFonts w:ascii="Aptos" w:hAnsi="Aptos"/>
          <w:sz w:val="24"/>
          <w:szCs w:val="24"/>
          <w:lang w:val="fr-FR"/>
        </w:rPr>
        <w:t xml:space="preserve">Les ruptures de stock constituent l’une des manifestations les plus visibles de ces dysfonctionnements. Une étude portant sur </w:t>
      </w:r>
      <w:r w:rsidRPr="002E0524">
        <w:rPr>
          <w:rFonts w:ascii="Aptos" w:hAnsi="Aptos"/>
          <w:sz w:val="24"/>
          <w:szCs w:val="24"/>
          <w:lang w:val="fr-FR"/>
        </w:rPr>
        <w:t>les risques nationaux de ruptures de médicaments en Afrique a mis en évidence l’existence de « risques intrinsèques</w:t>
      </w:r>
      <w:r w:rsidRPr="002E0524">
        <w:rPr>
          <w:rFonts w:ascii="Aptos" w:hAnsi="Aptos"/>
          <w:sz w:val="24"/>
          <w:szCs w:val="24"/>
          <w:lang w:val="fr-FR"/>
        </w:rPr>
        <w:t xml:space="preserve"> significatifs de rupture » dans la majorité des pays africains étudiés, particulièrement en Afrique de l’Est, en raison des difficultés de </w:t>
      </w:r>
      <w:r w:rsidRPr="002E0524">
        <w:rPr>
          <w:rFonts w:ascii="Aptos" w:hAnsi="Aptos"/>
          <w:sz w:val="24"/>
          <w:szCs w:val="24"/>
          <w:lang w:val="fr-FR"/>
        </w:rPr>
        <w:t>financement, des retards de décaissement et des faiblesses des mécanismes d’approvisionnement [2]. Ces ruptures ne sont pas de simples incidents logistiques : elles représentent des vies mises en danger et des ressources publiques gaspillées.</w:t>
      </w:r>
    </w:p>
    <w:p w14:paraId="191AC495" w14:textId="77777777" w:rsidR="00FC69AF" w:rsidRPr="002E0524" w:rsidRDefault="002E0524" w:rsidP="002E0524">
      <w:pPr>
        <w:pStyle w:val="Titre2"/>
        <w:spacing w:after="0"/>
        <w:jc w:val="both"/>
        <w:rPr>
          <w:rFonts w:ascii="Aptos" w:hAnsi="Aptos"/>
          <w:color w:val="C45911" w:themeColor="accent2" w:themeShade="BF"/>
          <w:lang w:val="fr-FR"/>
        </w:rPr>
      </w:pPr>
      <w:r w:rsidRPr="002E0524">
        <w:rPr>
          <w:rFonts w:ascii="Aptos" w:hAnsi="Aptos"/>
          <w:color w:val="C45911" w:themeColor="accent2" w:themeShade="BF"/>
          <w:lang w:val="fr-FR"/>
        </w:rPr>
        <w:t>Une transform</w:t>
      </w:r>
      <w:r w:rsidRPr="002E0524">
        <w:rPr>
          <w:rFonts w:ascii="Aptos" w:hAnsi="Aptos"/>
          <w:color w:val="C45911" w:themeColor="accent2" w:themeShade="BF"/>
          <w:lang w:val="fr-FR"/>
        </w:rPr>
        <w:t>ation qui ne peut plus attendre</w:t>
      </w:r>
    </w:p>
    <w:p w14:paraId="32F44D10" w14:textId="77777777" w:rsidR="00FC69AF" w:rsidRPr="002E0524" w:rsidRDefault="002E0524" w:rsidP="002E0524">
      <w:pPr>
        <w:ind w:firstLine="720"/>
        <w:jc w:val="both"/>
        <w:rPr>
          <w:rFonts w:ascii="Aptos" w:hAnsi="Aptos"/>
          <w:sz w:val="24"/>
          <w:szCs w:val="24"/>
          <w:lang w:val="fr-FR"/>
        </w:rPr>
      </w:pPr>
      <w:r w:rsidRPr="002E0524">
        <w:rPr>
          <w:rFonts w:ascii="Aptos" w:hAnsi="Aptos"/>
          <w:sz w:val="24"/>
          <w:szCs w:val="24"/>
          <w:lang w:val="fr-FR"/>
        </w:rPr>
        <w:t xml:space="preserve">Face à cette réalité, la transformation durable des systèmes de santé africains ne peut plus être envisagée de manière fragmentée. Elle exige une approche intégrée, combinant la digitalisation des processus, une gouvernance </w:t>
      </w:r>
      <w:r w:rsidRPr="002E0524">
        <w:rPr>
          <w:rFonts w:ascii="Aptos" w:hAnsi="Aptos"/>
          <w:sz w:val="24"/>
          <w:szCs w:val="24"/>
          <w:lang w:val="fr-FR"/>
        </w:rPr>
        <w:t>institutionnelle renforcée, l’interopérabilité des systèmes, la résilience logistique et l’exploitation stratégique des données de santé [3][4].</w:t>
      </w:r>
    </w:p>
    <w:p w14:paraId="613D3CD9" w14:textId="4062B4CC" w:rsidR="00FC69AF" w:rsidRDefault="002E0524" w:rsidP="002E0524">
      <w:pPr>
        <w:jc w:val="both"/>
        <w:rPr>
          <w:rFonts w:ascii="Aptos" w:hAnsi="Aptos"/>
          <w:sz w:val="24"/>
          <w:szCs w:val="24"/>
          <w:lang w:val="fr-FR"/>
        </w:rPr>
      </w:pPr>
      <w:r w:rsidRPr="002E0524">
        <w:rPr>
          <w:rFonts w:ascii="Aptos" w:hAnsi="Aptos"/>
          <w:sz w:val="24"/>
          <w:szCs w:val="24"/>
          <w:lang w:val="fr-FR"/>
        </w:rPr>
        <w:t>Ces cinq dimensions ne sont pas des options techniques parmi d’autres. Elles constituent les fondations sans le</w:t>
      </w:r>
      <w:r w:rsidRPr="002E0524">
        <w:rPr>
          <w:rFonts w:ascii="Aptos" w:hAnsi="Aptos"/>
          <w:sz w:val="24"/>
          <w:szCs w:val="24"/>
          <w:lang w:val="fr-FR"/>
        </w:rPr>
        <w:t>squelles aucune réforme sanitaire durable ne peut être conduite. Un système peut disposer des meilleures intentions politiques et des financements les plus généreux : sans données fiables, sans logistique robuste et sans gouvernance claire, les résultats r</w:t>
      </w:r>
      <w:r w:rsidRPr="002E0524">
        <w:rPr>
          <w:rFonts w:ascii="Aptos" w:hAnsi="Aptos"/>
          <w:sz w:val="24"/>
          <w:szCs w:val="24"/>
          <w:lang w:val="fr-FR"/>
        </w:rPr>
        <w:t>esteront en deçà des attentes.</w:t>
      </w:r>
    </w:p>
    <w:p w14:paraId="25BECC5B" w14:textId="77777777" w:rsidR="002E0524" w:rsidRPr="002E0524" w:rsidRDefault="002E0524" w:rsidP="002E0524">
      <w:pPr>
        <w:jc w:val="both"/>
        <w:rPr>
          <w:rFonts w:ascii="Aptos" w:hAnsi="Aptos"/>
          <w:sz w:val="24"/>
          <w:szCs w:val="24"/>
          <w:lang w:val="fr-FR"/>
        </w:rPr>
      </w:pPr>
    </w:p>
    <w:p w14:paraId="0554291A" w14:textId="4364BC13" w:rsidR="00FC69AF" w:rsidRDefault="002E0524" w:rsidP="002E0524">
      <w:pPr>
        <w:jc w:val="both"/>
        <w:rPr>
          <w:rFonts w:ascii="Aptos" w:hAnsi="Aptos"/>
          <w:sz w:val="24"/>
          <w:szCs w:val="24"/>
          <w:lang w:val="fr-FR"/>
        </w:rPr>
      </w:pPr>
      <w:r w:rsidRPr="002E0524">
        <w:rPr>
          <w:rFonts w:ascii="Aptos" w:hAnsi="Aptos"/>
          <w:sz w:val="24"/>
          <w:szCs w:val="24"/>
          <w:lang w:val="fr-FR"/>
        </w:rPr>
        <w:t>La question n’est donc plus de savoir si les systèmes de santé africains doivent se transformer. Elle est de déterminer avec quelle vision, quelle méthodologie et quelle urgence cette transformation doit être conduite. Les se</w:t>
      </w:r>
      <w:r w:rsidRPr="002E0524">
        <w:rPr>
          <w:rFonts w:ascii="Aptos" w:hAnsi="Aptos"/>
          <w:sz w:val="24"/>
          <w:szCs w:val="24"/>
          <w:lang w:val="fr-FR"/>
        </w:rPr>
        <w:t>ctions qui suivent explorent chacune de ces dimensions stratégiques.</w:t>
      </w:r>
    </w:p>
    <w:p w14:paraId="0A9005F0" w14:textId="77777777" w:rsidR="002E0524" w:rsidRPr="002E0524" w:rsidRDefault="002E0524" w:rsidP="002E0524">
      <w:pPr>
        <w:jc w:val="both"/>
        <w:rPr>
          <w:rFonts w:ascii="Aptos" w:hAnsi="Aptos"/>
          <w:sz w:val="24"/>
          <w:szCs w:val="24"/>
          <w:lang w:val="fr-FR"/>
        </w:rPr>
      </w:pPr>
    </w:p>
    <w:p w14:paraId="4EF85A37" w14:textId="77777777" w:rsidR="00FC69AF" w:rsidRPr="002E0524" w:rsidRDefault="002E0524" w:rsidP="002E0524">
      <w:pPr>
        <w:spacing w:before="120"/>
        <w:jc w:val="both"/>
        <w:rPr>
          <w:rFonts w:ascii="Aptos" w:hAnsi="Aptos"/>
          <w:sz w:val="20"/>
          <w:szCs w:val="20"/>
        </w:rPr>
      </w:pPr>
      <w:proofErr w:type="spellStart"/>
      <w:r w:rsidRPr="002E0524">
        <w:rPr>
          <w:rFonts w:ascii="Aptos" w:hAnsi="Aptos"/>
          <w:b/>
          <w:bCs/>
          <w:color w:val="333333"/>
          <w:sz w:val="20"/>
          <w:szCs w:val="20"/>
        </w:rPr>
        <w:t>Références</w:t>
      </w:r>
      <w:proofErr w:type="spellEnd"/>
      <w:r w:rsidRPr="002E0524">
        <w:rPr>
          <w:rFonts w:ascii="Aptos" w:hAnsi="Aptos"/>
          <w:b/>
          <w:bCs/>
          <w:color w:val="333333"/>
          <w:sz w:val="20"/>
          <w:szCs w:val="20"/>
        </w:rPr>
        <w:t xml:space="preserve"> </w:t>
      </w:r>
      <w:proofErr w:type="spellStart"/>
      <w:r w:rsidRPr="002E0524">
        <w:rPr>
          <w:rFonts w:ascii="Aptos" w:hAnsi="Aptos"/>
          <w:b/>
          <w:bCs/>
          <w:color w:val="333333"/>
          <w:sz w:val="20"/>
          <w:szCs w:val="20"/>
        </w:rPr>
        <w:t>bibliographiques</w:t>
      </w:r>
      <w:proofErr w:type="spellEnd"/>
    </w:p>
    <w:p w14:paraId="28A9DCB4" w14:textId="77777777" w:rsidR="00FC69AF" w:rsidRPr="002E0524" w:rsidRDefault="002E0524" w:rsidP="002E0524">
      <w:pPr>
        <w:pStyle w:val="Paragraphedeliste"/>
        <w:numPr>
          <w:ilvl w:val="0"/>
          <w:numId w:val="2"/>
        </w:numPr>
        <w:jc w:val="both"/>
        <w:rPr>
          <w:rFonts w:ascii="Aptos" w:hAnsi="Aptos"/>
          <w:sz w:val="20"/>
          <w:szCs w:val="20"/>
        </w:rPr>
      </w:pPr>
      <w:r w:rsidRPr="002E0524">
        <w:rPr>
          <w:rFonts w:ascii="Aptos" w:hAnsi="Aptos"/>
          <w:color w:val="555555"/>
          <w:sz w:val="20"/>
          <w:szCs w:val="20"/>
        </w:rPr>
        <w:t>World Health Organization (WHO). Everybody’s Business: Strengthening Health Systems to Improve Health Outcomes – WHO’s Framework for Action. Geneva: WHO, 2007</w:t>
      </w:r>
      <w:r w:rsidRPr="002E0524">
        <w:rPr>
          <w:rFonts w:ascii="Aptos" w:hAnsi="Aptos"/>
          <w:color w:val="555555"/>
          <w:sz w:val="20"/>
          <w:szCs w:val="20"/>
        </w:rPr>
        <w:t>.</w:t>
      </w:r>
    </w:p>
    <w:p w14:paraId="1784AE60" w14:textId="77777777" w:rsidR="00FC69AF" w:rsidRPr="002E0524" w:rsidRDefault="002E0524" w:rsidP="002E0524">
      <w:pPr>
        <w:pStyle w:val="Paragraphedeliste"/>
        <w:numPr>
          <w:ilvl w:val="0"/>
          <w:numId w:val="2"/>
        </w:numPr>
        <w:jc w:val="both"/>
        <w:rPr>
          <w:rFonts w:ascii="Aptos" w:hAnsi="Aptos"/>
          <w:sz w:val="20"/>
          <w:szCs w:val="20"/>
        </w:rPr>
      </w:pPr>
      <w:r w:rsidRPr="002E0524">
        <w:rPr>
          <w:rFonts w:ascii="Aptos" w:hAnsi="Aptos"/>
          <w:color w:val="555555"/>
          <w:sz w:val="20"/>
          <w:szCs w:val="20"/>
        </w:rPr>
        <w:t>Yadav, P. National Drug Stockout Risks in Africa: Analysis of the Global Fund Disbursement Process for Procurement.</w:t>
      </w:r>
    </w:p>
    <w:p w14:paraId="58224934" w14:textId="77777777" w:rsidR="00FC69AF" w:rsidRPr="002E0524" w:rsidRDefault="002E0524" w:rsidP="002E0524">
      <w:pPr>
        <w:pStyle w:val="Paragraphedeliste"/>
        <w:numPr>
          <w:ilvl w:val="0"/>
          <w:numId w:val="2"/>
        </w:numPr>
        <w:jc w:val="both"/>
        <w:rPr>
          <w:rFonts w:ascii="Aptos" w:hAnsi="Aptos"/>
          <w:sz w:val="20"/>
          <w:szCs w:val="20"/>
        </w:rPr>
      </w:pPr>
      <w:r w:rsidRPr="002E0524">
        <w:rPr>
          <w:rFonts w:ascii="Aptos" w:hAnsi="Aptos"/>
          <w:color w:val="555555"/>
          <w:sz w:val="20"/>
          <w:szCs w:val="20"/>
        </w:rPr>
        <w:t>World Bank. Digital-in-Health: Unlocking the Value for Everyone. Washington, DC: World Bank, 2023.</w:t>
      </w:r>
    </w:p>
    <w:p w14:paraId="365F2FCD" w14:textId="77777777" w:rsidR="00FC69AF" w:rsidRPr="002E0524" w:rsidRDefault="002E0524" w:rsidP="002E0524">
      <w:pPr>
        <w:pStyle w:val="Paragraphedeliste"/>
        <w:numPr>
          <w:ilvl w:val="0"/>
          <w:numId w:val="2"/>
        </w:numPr>
        <w:jc w:val="both"/>
        <w:rPr>
          <w:rFonts w:ascii="Aptos" w:hAnsi="Aptos"/>
          <w:sz w:val="20"/>
          <w:szCs w:val="20"/>
        </w:rPr>
      </w:pPr>
      <w:r w:rsidRPr="002E0524">
        <w:rPr>
          <w:rFonts w:ascii="Aptos" w:hAnsi="Aptos"/>
          <w:color w:val="555555"/>
          <w:sz w:val="20"/>
          <w:szCs w:val="20"/>
        </w:rPr>
        <w:t>World Health Organization (WHO). Global</w:t>
      </w:r>
      <w:r w:rsidRPr="002E0524">
        <w:rPr>
          <w:rFonts w:ascii="Aptos" w:hAnsi="Aptos"/>
          <w:color w:val="555555"/>
          <w:sz w:val="20"/>
          <w:szCs w:val="20"/>
        </w:rPr>
        <w:t xml:space="preserve"> Strategy on Digital Health 2020–2025. Geneva: WHO, 2021.</w:t>
      </w:r>
    </w:p>
    <w:sectPr w:rsidR="00FC69AF" w:rsidRPr="002E0524" w:rsidSect="002E0524">
      <w:pgSz w:w="11906" w:h="16838"/>
      <w:pgMar w:top="567" w:right="707" w:bottom="1440" w:left="70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0949"/>
    <w:multiLevelType w:val="hybridMultilevel"/>
    <w:tmpl w:val="F080EDD8"/>
    <w:lvl w:ilvl="0" w:tplc="093C9626">
      <w:start w:val="1"/>
      <w:numFmt w:val="decimal"/>
      <w:lvlText w:val="[%1]"/>
      <w:lvlJc w:val="left"/>
      <w:pPr>
        <w:ind w:left="540" w:hanging="360"/>
      </w:pPr>
    </w:lvl>
    <w:lvl w:ilvl="1" w:tplc="A744861A">
      <w:numFmt w:val="decimal"/>
      <w:lvlText w:val=""/>
      <w:lvlJc w:val="left"/>
    </w:lvl>
    <w:lvl w:ilvl="2" w:tplc="38629A02">
      <w:numFmt w:val="decimal"/>
      <w:lvlText w:val=""/>
      <w:lvlJc w:val="left"/>
    </w:lvl>
    <w:lvl w:ilvl="3" w:tplc="ABBE071C">
      <w:numFmt w:val="decimal"/>
      <w:lvlText w:val=""/>
      <w:lvlJc w:val="left"/>
    </w:lvl>
    <w:lvl w:ilvl="4" w:tplc="3AFE726E">
      <w:numFmt w:val="decimal"/>
      <w:lvlText w:val=""/>
      <w:lvlJc w:val="left"/>
    </w:lvl>
    <w:lvl w:ilvl="5" w:tplc="56BA819A">
      <w:numFmt w:val="decimal"/>
      <w:lvlText w:val=""/>
      <w:lvlJc w:val="left"/>
    </w:lvl>
    <w:lvl w:ilvl="6" w:tplc="838CFA3E">
      <w:numFmt w:val="decimal"/>
      <w:lvlText w:val=""/>
      <w:lvlJc w:val="left"/>
    </w:lvl>
    <w:lvl w:ilvl="7" w:tplc="CB3A111C">
      <w:numFmt w:val="decimal"/>
      <w:lvlText w:val=""/>
      <w:lvlJc w:val="left"/>
    </w:lvl>
    <w:lvl w:ilvl="8" w:tplc="C69AB132">
      <w:numFmt w:val="decimal"/>
      <w:lvlText w:val=""/>
      <w:lvlJc w:val="left"/>
    </w:lvl>
  </w:abstractNum>
  <w:abstractNum w:abstractNumId="1" w15:restartNumberingAfterBreak="0">
    <w:nsid w:val="1CF813FA"/>
    <w:multiLevelType w:val="hybridMultilevel"/>
    <w:tmpl w:val="43C8B142"/>
    <w:lvl w:ilvl="0" w:tplc="BA1C7916">
      <w:start w:val="1"/>
      <w:numFmt w:val="bullet"/>
      <w:lvlText w:val="●"/>
      <w:lvlJc w:val="left"/>
      <w:pPr>
        <w:ind w:left="720" w:hanging="360"/>
      </w:pPr>
    </w:lvl>
    <w:lvl w:ilvl="1" w:tplc="B128CA90">
      <w:start w:val="1"/>
      <w:numFmt w:val="bullet"/>
      <w:lvlText w:val="○"/>
      <w:lvlJc w:val="left"/>
      <w:pPr>
        <w:ind w:left="1440" w:hanging="360"/>
      </w:pPr>
    </w:lvl>
    <w:lvl w:ilvl="2" w:tplc="79206790">
      <w:start w:val="1"/>
      <w:numFmt w:val="bullet"/>
      <w:lvlText w:val="■"/>
      <w:lvlJc w:val="left"/>
      <w:pPr>
        <w:ind w:left="2160" w:hanging="360"/>
      </w:pPr>
    </w:lvl>
    <w:lvl w:ilvl="3" w:tplc="7A92B65E">
      <w:start w:val="1"/>
      <w:numFmt w:val="bullet"/>
      <w:lvlText w:val="●"/>
      <w:lvlJc w:val="left"/>
      <w:pPr>
        <w:ind w:left="2880" w:hanging="360"/>
      </w:pPr>
    </w:lvl>
    <w:lvl w:ilvl="4" w:tplc="DC8CA930">
      <w:start w:val="1"/>
      <w:numFmt w:val="bullet"/>
      <w:lvlText w:val="○"/>
      <w:lvlJc w:val="left"/>
      <w:pPr>
        <w:ind w:left="3600" w:hanging="360"/>
      </w:pPr>
    </w:lvl>
    <w:lvl w:ilvl="5" w:tplc="1AEE9C30">
      <w:start w:val="1"/>
      <w:numFmt w:val="bullet"/>
      <w:lvlText w:val="■"/>
      <w:lvlJc w:val="left"/>
      <w:pPr>
        <w:ind w:left="4320" w:hanging="360"/>
      </w:pPr>
    </w:lvl>
    <w:lvl w:ilvl="6" w:tplc="526A0C50">
      <w:start w:val="1"/>
      <w:numFmt w:val="bullet"/>
      <w:lvlText w:val="●"/>
      <w:lvlJc w:val="left"/>
      <w:pPr>
        <w:ind w:left="5040" w:hanging="360"/>
      </w:pPr>
    </w:lvl>
    <w:lvl w:ilvl="7" w:tplc="97F04F70">
      <w:start w:val="1"/>
      <w:numFmt w:val="bullet"/>
      <w:lvlText w:val="●"/>
      <w:lvlJc w:val="left"/>
      <w:pPr>
        <w:ind w:left="5760" w:hanging="360"/>
      </w:pPr>
    </w:lvl>
    <w:lvl w:ilvl="8" w:tplc="E8FCA9B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9AF"/>
    <w:rsid w:val="002E0524"/>
    <w:rsid w:val="00FC6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7E0D7"/>
  <w15:docId w15:val="{E857E572-6043-45C9-8BE3-94DC9BC0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200"/>
      <w:outlineLvl w:val="0"/>
    </w:pPr>
    <w:rPr>
      <w:b/>
      <w:bCs/>
      <w:color w:val="1B5E8B"/>
      <w:sz w:val="30"/>
      <w:szCs w:val="30"/>
    </w:rPr>
  </w:style>
  <w:style w:type="paragraph" w:styleId="Titre2">
    <w:name w:val="heading 2"/>
    <w:uiPriority w:val="9"/>
    <w:unhideWhenUsed/>
    <w:qFormat/>
    <w:pPr>
      <w:spacing w:before="240" w:after="12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2</cp:revision>
  <dcterms:created xsi:type="dcterms:W3CDTF">2026-05-17T10:41:00Z</dcterms:created>
  <dcterms:modified xsi:type="dcterms:W3CDTF">2026-05-17T10:48:00Z</dcterms:modified>
</cp:coreProperties>
</file>