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117E1" w14:textId="60BBCD73" w:rsidR="00A356AB" w:rsidRDefault="007D2C98" w:rsidP="007D2C98">
      <w:pPr>
        <w:pStyle w:val="Titre1"/>
        <w:spacing w:after="0"/>
        <w:jc w:val="center"/>
        <w:rPr>
          <w:rFonts w:ascii="Aptos" w:hAnsi="Aptos"/>
          <w:color w:val="002060"/>
          <w:sz w:val="28"/>
          <w:szCs w:val="28"/>
          <w:lang w:val="fr-FR"/>
        </w:rPr>
      </w:pPr>
      <w:r w:rsidRPr="007D2C98">
        <w:rPr>
          <w:rFonts w:ascii="Aptos" w:hAnsi="Aptos"/>
          <w:color w:val="002060"/>
          <w:sz w:val="28"/>
          <w:szCs w:val="28"/>
          <w:lang w:val="fr-FR"/>
        </w:rPr>
        <w:t xml:space="preserve">Du « digital </w:t>
      </w:r>
      <w:proofErr w:type="spellStart"/>
      <w:r w:rsidRPr="007D2C98">
        <w:rPr>
          <w:rFonts w:ascii="Aptos" w:hAnsi="Aptos"/>
          <w:color w:val="002060"/>
          <w:sz w:val="28"/>
          <w:szCs w:val="28"/>
          <w:lang w:val="fr-FR"/>
        </w:rPr>
        <w:t>health</w:t>
      </w:r>
      <w:proofErr w:type="spellEnd"/>
      <w:r w:rsidRPr="007D2C98">
        <w:rPr>
          <w:rFonts w:ascii="Aptos" w:hAnsi="Aptos"/>
          <w:color w:val="002060"/>
          <w:sz w:val="28"/>
          <w:szCs w:val="28"/>
          <w:lang w:val="fr-FR"/>
        </w:rPr>
        <w:t xml:space="preserve"> » au « digital-in-</w:t>
      </w:r>
      <w:proofErr w:type="spellStart"/>
      <w:r w:rsidRPr="007D2C98">
        <w:rPr>
          <w:rFonts w:ascii="Aptos" w:hAnsi="Aptos"/>
          <w:color w:val="002060"/>
          <w:sz w:val="28"/>
          <w:szCs w:val="28"/>
          <w:lang w:val="fr-FR"/>
        </w:rPr>
        <w:t>health</w:t>
      </w:r>
      <w:proofErr w:type="spellEnd"/>
      <w:r w:rsidRPr="007D2C98">
        <w:rPr>
          <w:rFonts w:ascii="Aptos" w:hAnsi="Aptos"/>
          <w:color w:val="002060"/>
          <w:sz w:val="28"/>
          <w:szCs w:val="28"/>
          <w:lang w:val="fr-FR"/>
        </w:rPr>
        <w:t xml:space="preserve"> » : pourquoi la distinction change tout pour les systèmes de santé africains</w:t>
      </w:r>
    </w:p>
    <w:p w14:paraId="1FC596A3" w14:textId="77777777" w:rsidR="007D2C98" w:rsidRPr="007D2C98" w:rsidRDefault="007D2C98" w:rsidP="007D2C98">
      <w:pPr>
        <w:pStyle w:val="Titre1"/>
        <w:spacing w:after="0"/>
        <w:jc w:val="center"/>
        <w:rPr>
          <w:rFonts w:ascii="Aptos" w:hAnsi="Aptos"/>
          <w:color w:val="002060"/>
          <w:sz w:val="28"/>
          <w:szCs w:val="28"/>
          <w:lang w:val="fr-FR"/>
        </w:rPr>
      </w:pPr>
    </w:p>
    <w:p w14:paraId="75DDD486" w14:textId="77777777" w:rsidR="00A356AB" w:rsidRPr="007D2C98" w:rsidRDefault="007D2C98" w:rsidP="007D2C98">
      <w:pPr>
        <w:jc w:val="both"/>
        <w:rPr>
          <w:rFonts w:ascii="Aptos" w:hAnsi="Aptos"/>
          <w:sz w:val="24"/>
          <w:szCs w:val="24"/>
          <w:lang w:val="fr-FR"/>
        </w:rPr>
      </w:pPr>
      <w:r w:rsidRPr="007D2C98">
        <w:rPr>
          <w:rFonts w:ascii="Aptos" w:hAnsi="Aptos"/>
          <w:sz w:val="24"/>
          <w:szCs w:val="24"/>
          <w:lang w:val="fr-FR"/>
        </w:rPr>
        <w:t>Pendant longtemps, la digitalisation de la santé a été perçue comme un luxe réservé aux pays à revenus élevés — une couche technologique que l’on ajoute une fois les bases du système solidement établies. Cette vision est désormais dépassée. Dans les contex</w:t>
      </w:r>
      <w:r w:rsidRPr="007D2C98">
        <w:rPr>
          <w:rFonts w:ascii="Aptos" w:hAnsi="Aptos"/>
          <w:sz w:val="24"/>
          <w:szCs w:val="24"/>
          <w:lang w:val="fr-FR"/>
        </w:rPr>
        <w:t>tes où les ressources sont contraintes, les distances immenses et la pression sur les systèmes sanitaires croissante, le numérique n’est plus un supplément — il est devenu une condition de performance.</w:t>
      </w:r>
    </w:p>
    <w:p w14:paraId="5A2F04F3" w14:textId="77777777" w:rsidR="00A356AB" w:rsidRPr="007D2C98" w:rsidRDefault="007D2C98" w:rsidP="007D2C98">
      <w:pPr>
        <w:jc w:val="both"/>
        <w:rPr>
          <w:rFonts w:ascii="Aptos" w:hAnsi="Aptos"/>
          <w:sz w:val="24"/>
          <w:szCs w:val="24"/>
          <w:lang w:val="fr-FR"/>
        </w:rPr>
      </w:pPr>
      <w:r w:rsidRPr="007D2C98">
        <w:rPr>
          <w:rFonts w:ascii="Aptos" w:hAnsi="Aptos"/>
          <w:sz w:val="24"/>
          <w:szCs w:val="24"/>
          <w:lang w:val="fr-FR"/>
        </w:rPr>
        <w:t>La Banque mondiale a formalisé cette évolution concept</w:t>
      </w:r>
      <w:r w:rsidRPr="007D2C98">
        <w:rPr>
          <w:rFonts w:ascii="Aptos" w:hAnsi="Aptos"/>
          <w:sz w:val="24"/>
          <w:szCs w:val="24"/>
          <w:lang w:val="fr-FR"/>
        </w:rPr>
        <w:t xml:space="preserve">uelle dans un rapport majeur : les pays doivent passer d’une logique de « digital </w:t>
      </w:r>
      <w:proofErr w:type="spellStart"/>
      <w:r w:rsidRPr="007D2C98">
        <w:rPr>
          <w:rFonts w:ascii="Aptos" w:hAnsi="Aptos"/>
          <w:sz w:val="24"/>
          <w:szCs w:val="24"/>
          <w:lang w:val="fr-FR"/>
        </w:rPr>
        <w:t>health</w:t>
      </w:r>
      <w:proofErr w:type="spellEnd"/>
      <w:r w:rsidRPr="007D2C98">
        <w:rPr>
          <w:rFonts w:ascii="Aptos" w:hAnsi="Aptos"/>
          <w:sz w:val="24"/>
          <w:szCs w:val="24"/>
          <w:lang w:val="fr-FR"/>
        </w:rPr>
        <w:t xml:space="preserve"> » — où le numérique est un outil parmi d’autres — à une approche « digital-in-</w:t>
      </w:r>
      <w:proofErr w:type="spellStart"/>
      <w:r w:rsidRPr="007D2C98">
        <w:rPr>
          <w:rFonts w:ascii="Aptos" w:hAnsi="Aptos"/>
          <w:sz w:val="24"/>
          <w:szCs w:val="24"/>
          <w:lang w:val="fr-FR"/>
        </w:rPr>
        <w:t>health</w:t>
      </w:r>
      <w:proofErr w:type="spellEnd"/>
      <w:r w:rsidRPr="007D2C98">
        <w:rPr>
          <w:rFonts w:ascii="Aptos" w:hAnsi="Aptos"/>
          <w:sz w:val="24"/>
          <w:szCs w:val="24"/>
          <w:lang w:val="fr-FR"/>
        </w:rPr>
        <w:t xml:space="preserve"> », dans laquelle le numérique est intégré comme composante structurante de l’ensem</w:t>
      </w:r>
      <w:r w:rsidRPr="007D2C98">
        <w:rPr>
          <w:rFonts w:ascii="Aptos" w:hAnsi="Aptos"/>
          <w:sz w:val="24"/>
          <w:szCs w:val="24"/>
          <w:lang w:val="fr-FR"/>
        </w:rPr>
        <w:t>ble du système sanitaire [1]. Ce changement de paradigme n’est pas sémantique : il redessine profondément la manière dont les institutions de santé doivent planifier, investir et gouverner leur transformation.</w:t>
      </w:r>
    </w:p>
    <w:p w14:paraId="58DDCA3F" w14:textId="77777777" w:rsidR="00A356AB" w:rsidRPr="007D2C98" w:rsidRDefault="007D2C98" w:rsidP="007D2C98">
      <w:pPr>
        <w:pStyle w:val="Titre2"/>
        <w:spacing w:after="0"/>
        <w:jc w:val="both"/>
        <w:rPr>
          <w:rFonts w:ascii="Aptos" w:hAnsi="Aptos"/>
          <w:color w:val="C45911" w:themeColor="accent2" w:themeShade="BF"/>
          <w:lang w:val="fr-FR"/>
        </w:rPr>
      </w:pPr>
      <w:r w:rsidRPr="007D2C98">
        <w:rPr>
          <w:rFonts w:ascii="Aptos" w:hAnsi="Aptos"/>
          <w:color w:val="C45911" w:themeColor="accent2" w:themeShade="BF"/>
          <w:lang w:val="fr-FR"/>
        </w:rPr>
        <w:t>Ce que la transformation numérique rend possib</w:t>
      </w:r>
      <w:r w:rsidRPr="007D2C98">
        <w:rPr>
          <w:rFonts w:ascii="Aptos" w:hAnsi="Aptos"/>
          <w:color w:val="C45911" w:themeColor="accent2" w:themeShade="BF"/>
          <w:lang w:val="fr-FR"/>
        </w:rPr>
        <w:t>le</w:t>
      </w:r>
    </w:p>
    <w:p w14:paraId="4FA4C946" w14:textId="77777777" w:rsidR="00A356AB" w:rsidRPr="007D2C98" w:rsidRDefault="007D2C98" w:rsidP="007D2C98">
      <w:pPr>
        <w:jc w:val="both"/>
        <w:rPr>
          <w:rFonts w:ascii="Aptos" w:hAnsi="Aptos"/>
          <w:sz w:val="24"/>
          <w:szCs w:val="24"/>
          <w:lang w:val="fr-FR"/>
        </w:rPr>
      </w:pPr>
      <w:r w:rsidRPr="007D2C98">
        <w:rPr>
          <w:rFonts w:ascii="Aptos" w:hAnsi="Aptos"/>
          <w:sz w:val="24"/>
          <w:szCs w:val="24"/>
          <w:lang w:val="fr-FR"/>
        </w:rPr>
        <w:t>Dans les systèmes de santé qui ont engagé cette transition, les bénéfices sont concrets et mesurables. La digitalisation améliore la qualité et la disponibilité des données, accélère la prise de décision, renforce la transparence et la traçabilité pharm</w:t>
      </w:r>
      <w:r w:rsidRPr="007D2C98">
        <w:rPr>
          <w:rFonts w:ascii="Aptos" w:hAnsi="Aptos"/>
          <w:sz w:val="24"/>
          <w:szCs w:val="24"/>
          <w:lang w:val="fr-FR"/>
        </w:rPr>
        <w:t>aceutique, optimise la coordination institutionnelle et réduit les inefficacités opérationnelles. Ce ne sont pas des promesses théoriques : ce sont des résultats documentés dans des contextes africains comparables aux enjeux auxquels font face la plupart d</w:t>
      </w:r>
      <w:r w:rsidRPr="007D2C98">
        <w:rPr>
          <w:rFonts w:ascii="Aptos" w:hAnsi="Aptos"/>
          <w:sz w:val="24"/>
          <w:szCs w:val="24"/>
          <w:lang w:val="fr-FR"/>
        </w:rPr>
        <w:t>es pays du continent.</w:t>
      </w:r>
    </w:p>
    <w:p w14:paraId="7FCA5BF7" w14:textId="77777777" w:rsidR="00A356AB" w:rsidRPr="007D2C98" w:rsidRDefault="007D2C98" w:rsidP="007D2C98">
      <w:pPr>
        <w:jc w:val="both"/>
        <w:rPr>
          <w:rFonts w:ascii="Aptos" w:hAnsi="Aptos"/>
          <w:sz w:val="24"/>
          <w:szCs w:val="24"/>
          <w:lang w:val="fr-FR"/>
        </w:rPr>
      </w:pPr>
      <w:r w:rsidRPr="007D2C98">
        <w:rPr>
          <w:rFonts w:ascii="Aptos" w:hAnsi="Aptos"/>
          <w:sz w:val="24"/>
          <w:szCs w:val="24"/>
          <w:lang w:val="fr-FR"/>
        </w:rPr>
        <w:t>Selon l’Organisation mondiale de la Santé, le renforcement des systèmes numériques de santé constitue désormais un pilier essentiel pour améliorer la performance des systèmes sanitaires et soutenir une prise de décision fondée sur les</w:t>
      </w:r>
      <w:r w:rsidRPr="007D2C98">
        <w:rPr>
          <w:rFonts w:ascii="Aptos" w:hAnsi="Aptos"/>
          <w:sz w:val="24"/>
          <w:szCs w:val="24"/>
          <w:lang w:val="fr-FR"/>
        </w:rPr>
        <w:t xml:space="preserve"> données [2]. Ce positionnement de l’OMS est significatif : il traduit une conviction de plus en plus partagée que les systèmes qui ne maîtrisent pas leurs données ne peuvent pas piloter efficacement leurs performances, ni anticiper les crises.</w:t>
      </w:r>
    </w:p>
    <w:p w14:paraId="11371542" w14:textId="77777777" w:rsidR="00A356AB" w:rsidRPr="007D2C98" w:rsidRDefault="007D2C98" w:rsidP="007D2C98">
      <w:pPr>
        <w:pStyle w:val="Titre2"/>
        <w:spacing w:after="0"/>
        <w:jc w:val="both"/>
        <w:rPr>
          <w:rFonts w:ascii="Aptos" w:hAnsi="Aptos"/>
          <w:color w:val="C45911" w:themeColor="accent2" w:themeShade="BF"/>
          <w:lang w:val="fr-FR"/>
        </w:rPr>
      </w:pPr>
      <w:r w:rsidRPr="007D2C98">
        <w:rPr>
          <w:rFonts w:ascii="Aptos" w:hAnsi="Aptos"/>
          <w:color w:val="C45911" w:themeColor="accent2" w:themeShade="BF"/>
          <w:lang w:val="fr-FR"/>
        </w:rPr>
        <w:t>Une dynamiq</w:t>
      </w:r>
      <w:r w:rsidRPr="007D2C98">
        <w:rPr>
          <w:rFonts w:ascii="Aptos" w:hAnsi="Aptos"/>
          <w:color w:val="C45911" w:themeColor="accent2" w:themeShade="BF"/>
          <w:lang w:val="fr-FR"/>
        </w:rPr>
        <w:t>ue continentale en accélération</w:t>
      </w:r>
    </w:p>
    <w:p w14:paraId="093748A4" w14:textId="77777777" w:rsidR="00A356AB" w:rsidRPr="007D2C98" w:rsidRDefault="007D2C98" w:rsidP="007D2C98">
      <w:pPr>
        <w:jc w:val="both"/>
        <w:rPr>
          <w:rFonts w:ascii="Aptos" w:hAnsi="Aptos"/>
          <w:sz w:val="24"/>
          <w:szCs w:val="24"/>
          <w:lang w:val="fr-FR"/>
        </w:rPr>
      </w:pPr>
      <w:r w:rsidRPr="007D2C98">
        <w:rPr>
          <w:rFonts w:ascii="Aptos" w:hAnsi="Aptos"/>
          <w:sz w:val="24"/>
          <w:szCs w:val="24"/>
          <w:lang w:val="fr-FR"/>
        </w:rPr>
        <w:t>L’Afrique n’est pas en retard sur cette transformation — elle est en train de la vivre à un rythme remarquable. L’accès au haut débit sur le continent est passé de 26 % en 2019 à 36 % en 2022, porté par des investissements m</w:t>
      </w:r>
      <w:r w:rsidRPr="007D2C98">
        <w:rPr>
          <w:rFonts w:ascii="Aptos" w:hAnsi="Aptos"/>
          <w:sz w:val="24"/>
          <w:szCs w:val="24"/>
          <w:lang w:val="fr-FR"/>
        </w:rPr>
        <w:t xml:space="preserve">assifs dans le cadre de l’initiative Digital Economy for </w:t>
      </w:r>
      <w:proofErr w:type="spellStart"/>
      <w:r w:rsidRPr="007D2C98">
        <w:rPr>
          <w:rFonts w:ascii="Aptos" w:hAnsi="Aptos"/>
          <w:sz w:val="24"/>
          <w:szCs w:val="24"/>
          <w:lang w:val="fr-FR"/>
        </w:rPr>
        <w:t>Africa</w:t>
      </w:r>
      <w:proofErr w:type="spellEnd"/>
      <w:r w:rsidRPr="007D2C98">
        <w:rPr>
          <w:rFonts w:ascii="Aptos" w:hAnsi="Aptos"/>
          <w:sz w:val="24"/>
          <w:szCs w:val="24"/>
          <w:lang w:val="fr-FR"/>
        </w:rPr>
        <w:t xml:space="preserve"> [3]. Cette progression crée des conditions infrastructurelles de plus en plus favorables au déploiement de solutions de santé digitale, même dans des zones qui étaient jusqu’alors difficiles d</w:t>
      </w:r>
      <w:r w:rsidRPr="007D2C98">
        <w:rPr>
          <w:rFonts w:ascii="Aptos" w:hAnsi="Aptos"/>
          <w:sz w:val="24"/>
          <w:szCs w:val="24"/>
          <w:lang w:val="fr-FR"/>
        </w:rPr>
        <w:t>’accès.</w:t>
      </w:r>
    </w:p>
    <w:p w14:paraId="28EA6FE1" w14:textId="77777777" w:rsidR="00A356AB" w:rsidRPr="007D2C98" w:rsidRDefault="007D2C98" w:rsidP="007D2C98">
      <w:pPr>
        <w:jc w:val="both"/>
        <w:rPr>
          <w:rFonts w:ascii="Aptos" w:hAnsi="Aptos"/>
          <w:sz w:val="24"/>
          <w:szCs w:val="24"/>
          <w:lang w:val="fr-FR"/>
        </w:rPr>
      </w:pPr>
      <w:r w:rsidRPr="007D2C98">
        <w:rPr>
          <w:rFonts w:ascii="Aptos" w:hAnsi="Aptos"/>
          <w:sz w:val="24"/>
          <w:szCs w:val="24"/>
          <w:lang w:val="fr-FR"/>
        </w:rPr>
        <w:t>Parallèlement, la communauté internationale converge vers un agenda commun. La Banque mondiale, l’OMS et le G20 appellent aujourd’hui conjointement à accélérer les investissements dans l’interopérabilité des systèmes, le renforcement des infrastruc</w:t>
      </w:r>
      <w:r w:rsidRPr="007D2C98">
        <w:rPr>
          <w:rFonts w:ascii="Aptos" w:hAnsi="Aptos"/>
          <w:sz w:val="24"/>
          <w:szCs w:val="24"/>
          <w:lang w:val="fr-FR"/>
        </w:rPr>
        <w:t>tures numériques, la gouvernance des données, la cybersécurité et le développement des plateformes nationales de santé digitale [4]. Ce consensus mondial crée une opportunité historique pour les pays africains : s’appuyer sur cet élan pour accélérer leur p</w:t>
      </w:r>
      <w:r w:rsidRPr="007D2C98">
        <w:rPr>
          <w:rFonts w:ascii="Aptos" w:hAnsi="Aptos"/>
          <w:sz w:val="24"/>
          <w:szCs w:val="24"/>
          <w:lang w:val="fr-FR"/>
        </w:rPr>
        <w:t>ropre transformation, avec l’appui technique et financier de partenaires engagés.</w:t>
      </w:r>
    </w:p>
    <w:p w14:paraId="44D2DC56" w14:textId="77777777" w:rsidR="00A356AB" w:rsidRPr="007D2C98" w:rsidRDefault="007D2C98" w:rsidP="007D2C98">
      <w:pPr>
        <w:pStyle w:val="Titre2"/>
        <w:spacing w:after="0"/>
        <w:jc w:val="both"/>
        <w:rPr>
          <w:rFonts w:ascii="Aptos" w:hAnsi="Aptos"/>
          <w:color w:val="C45911" w:themeColor="accent2" w:themeShade="BF"/>
          <w:lang w:val="fr-FR"/>
        </w:rPr>
      </w:pPr>
      <w:r w:rsidRPr="007D2C98">
        <w:rPr>
          <w:rFonts w:ascii="Aptos" w:hAnsi="Aptos"/>
          <w:color w:val="C45911" w:themeColor="accent2" w:themeShade="BF"/>
          <w:lang w:val="fr-FR"/>
        </w:rPr>
        <w:t>La donnée comme infrastructure stratégique</w:t>
      </w:r>
    </w:p>
    <w:p w14:paraId="685BA1A9" w14:textId="77777777" w:rsidR="00A356AB" w:rsidRPr="007D2C98" w:rsidRDefault="007D2C98" w:rsidP="007D2C98">
      <w:pPr>
        <w:jc w:val="both"/>
        <w:rPr>
          <w:rFonts w:ascii="Aptos" w:hAnsi="Aptos"/>
          <w:sz w:val="24"/>
          <w:szCs w:val="24"/>
          <w:lang w:val="fr-FR"/>
        </w:rPr>
      </w:pPr>
      <w:r w:rsidRPr="007D2C98">
        <w:rPr>
          <w:rFonts w:ascii="Aptos" w:hAnsi="Aptos"/>
          <w:sz w:val="24"/>
          <w:szCs w:val="24"/>
          <w:lang w:val="fr-FR"/>
        </w:rPr>
        <w:t>Au-delà des outils et des plateformes, c’est une véritable culture de la donnée qui doit être construite au sein des institutions d</w:t>
      </w:r>
      <w:r w:rsidRPr="007D2C98">
        <w:rPr>
          <w:rFonts w:ascii="Aptos" w:hAnsi="Aptos"/>
          <w:sz w:val="24"/>
          <w:szCs w:val="24"/>
          <w:lang w:val="fr-FR"/>
        </w:rPr>
        <w:t xml:space="preserve">e santé. Un système peut disposer des meilleures technologies : si les données qu’il produit ne sont pas utilisées pour décider, planifier et évaluer, l’investissement reste </w:t>
      </w:r>
      <w:proofErr w:type="spellStart"/>
      <w:r w:rsidRPr="007D2C98">
        <w:rPr>
          <w:rFonts w:ascii="Aptos" w:hAnsi="Aptos"/>
          <w:sz w:val="24"/>
          <w:szCs w:val="24"/>
          <w:lang w:val="fr-FR"/>
        </w:rPr>
        <w:t>stagé</w:t>
      </w:r>
      <w:proofErr w:type="spellEnd"/>
      <w:r w:rsidRPr="007D2C98">
        <w:rPr>
          <w:rFonts w:ascii="Aptos" w:hAnsi="Aptos"/>
          <w:sz w:val="24"/>
          <w:szCs w:val="24"/>
          <w:lang w:val="fr-FR"/>
        </w:rPr>
        <w:t>. La transformation numérique réussie est celle qui place la donnée au cœur d</w:t>
      </w:r>
      <w:r w:rsidRPr="007D2C98">
        <w:rPr>
          <w:rFonts w:ascii="Aptos" w:hAnsi="Aptos"/>
          <w:sz w:val="24"/>
          <w:szCs w:val="24"/>
          <w:lang w:val="fr-FR"/>
        </w:rPr>
        <w:t>es processus décisionnels, à tous les niveaux du système — du dépôt pharmaceutique central jusqu’au poste de santé de village.</w:t>
      </w:r>
    </w:p>
    <w:p w14:paraId="1E55C91B" w14:textId="77777777" w:rsidR="00A356AB" w:rsidRPr="007D2C98" w:rsidRDefault="007D2C98" w:rsidP="007D2C98">
      <w:pPr>
        <w:jc w:val="both"/>
        <w:rPr>
          <w:rFonts w:ascii="Aptos" w:hAnsi="Aptos"/>
          <w:sz w:val="24"/>
          <w:szCs w:val="24"/>
        </w:rPr>
      </w:pPr>
      <w:r w:rsidRPr="007D2C98">
        <w:rPr>
          <w:rFonts w:ascii="Aptos" w:hAnsi="Aptos"/>
          <w:sz w:val="24"/>
          <w:szCs w:val="24"/>
          <w:lang w:val="fr-FR"/>
        </w:rPr>
        <w:lastRenderedPageBreak/>
        <w:t>Les systèmes de santé du futur seront pilotés par la donnée, l’interopérabilité et les infrastructures numériques intégrées. Mais</w:t>
      </w:r>
      <w:r w:rsidRPr="007D2C98">
        <w:rPr>
          <w:rFonts w:ascii="Aptos" w:hAnsi="Aptos"/>
          <w:sz w:val="24"/>
          <w:szCs w:val="24"/>
          <w:lang w:val="fr-FR"/>
        </w:rPr>
        <w:t xml:space="preserve"> cette ambition ne peut se concrétiser sans une condition préalable trop souvent négligée : la sécurisation et la traçabilité des produits pharmaceutiques qui circulent dans ces systèmes. </w:t>
      </w:r>
      <w:proofErr w:type="spellStart"/>
      <w:r w:rsidRPr="007D2C98">
        <w:rPr>
          <w:rFonts w:ascii="Aptos" w:hAnsi="Aptos"/>
          <w:sz w:val="24"/>
          <w:szCs w:val="24"/>
        </w:rPr>
        <w:t>C’est</w:t>
      </w:r>
      <w:proofErr w:type="spellEnd"/>
      <w:r w:rsidRPr="007D2C98">
        <w:rPr>
          <w:rFonts w:ascii="Aptos" w:hAnsi="Aptos"/>
          <w:sz w:val="24"/>
          <w:szCs w:val="24"/>
        </w:rPr>
        <w:t xml:space="preserve"> </w:t>
      </w:r>
      <w:proofErr w:type="spellStart"/>
      <w:r w:rsidRPr="007D2C98">
        <w:rPr>
          <w:rFonts w:ascii="Aptos" w:hAnsi="Aptos"/>
          <w:sz w:val="24"/>
          <w:szCs w:val="24"/>
        </w:rPr>
        <w:t>l’objet</w:t>
      </w:r>
      <w:proofErr w:type="spellEnd"/>
      <w:r w:rsidRPr="007D2C98">
        <w:rPr>
          <w:rFonts w:ascii="Aptos" w:hAnsi="Aptos"/>
          <w:sz w:val="24"/>
          <w:szCs w:val="24"/>
        </w:rPr>
        <w:t xml:space="preserve"> de </w:t>
      </w:r>
      <w:proofErr w:type="spellStart"/>
      <w:r w:rsidRPr="007D2C98">
        <w:rPr>
          <w:rFonts w:ascii="Aptos" w:hAnsi="Aptos"/>
          <w:sz w:val="24"/>
          <w:szCs w:val="24"/>
        </w:rPr>
        <w:t>l’article</w:t>
      </w:r>
      <w:proofErr w:type="spellEnd"/>
      <w:r w:rsidRPr="007D2C98">
        <w:rPr>
          <w:rFonts w:ascii="Aptos" w:hAnsi="Aptos"/>
          <w:sz w:val="24"/>
          <w:szCs w:val="24"/>
        </w:rPr>
        <w:t xml:space="preserve"> </w:t>
      </w:r>
      <w:proofErr w:type="spellStart"/>
      <w:r w:rsidRPr="007D2C98">
        <w:rPr>
          <w:rFonts w:ascii="Aptos" w:hAnsi="Aptos"/>
          <w:sz w:val="24"/>
          <w:szCs w:val="24"/>
        </w:rPr>
        <w:t>suivant</w:t>
      </w:r>
      <w:proofErr w:type="spellEnd"/>
      <w:r w:rsidRPr="007D2C98">
        <w:rPr>
          <w:rFonts w:ascii="Aptos" w:hAnsi="Aptos"/>
          <w:sz w:val="24"/>
          <w:szCs w:val="24"/>
        </w:rPr>
        <w:t>.</w:t>
      </w:r>
    </w:p>
    <w:p w14:paraId="690F7C4A" w14:textId="77777777" w:rsidR="007D2C98" w:rsidRDefault="007D2C98" w:rsidP="007D2C98">
      <w:pPr>
        <w:spacing w:before="120"/>
        <w:jc w:val="both"/>
        <w:rPr>
          <w:rFonts w:ascii="Aptos" w:hAnsi="Aptos"/>
          <w:b/>
          <w:bCs/>
          <w:color w:val="333333"/>
          <w:sz w:val="20"/>
          <w:szCs w:val="20"/>
        </w:rPr>
      </w:pPr>
    </w:p>
    <w:p w14:paraId="0DDBECF1" w14:textId="169B90D2" w:rsidR="00A356AB" w:rsidRPr="007D2C98" w:rsidRDefault="007D2C98" w:rsidP="007D2C98">
      <w:pPr>
        <w:spacing w:before="120"/>
        <w:jc w:val="both"/>
        <w:rPr>
          <w:rFonts w:ascii="Aptos" w:hAnsi="Aptos"/>
          <w:sz w:val="20"/>
          <w:szCs w:val="20"/>
        </w:rPr>
      </w:pPr>
      <w:proofErr w:type="spellStart"/>
      <w:r w:rsidRPr="007D2C98">
        <w:rPr>
          <w:rFonts w:ascii="Aptos" w:hAnsi="Aptos"/>
          <w:b/>
          <w:bCs/>
          <w:color w:val="333333"/>
          <w:sz w:val="20"/>
          <w:szCs w:val="20"/>
        </w:rPr>
        <w:t>Références</w:t>
      </w:r>
      <w:proofErr w:type="spellEnd"/>
      <w:r w:rsidRPr="007D2C98">
        <w:rPr>
          <w:rFonts w:ascii="Aptos" w:hAnsi="Aptos"/>
          <w:b/>
          <w:bCs/>
          <w:color w:val="333333"/>
          <w:sz w:val="20"/>
          <w:szCs w:val="20"/>
        </w:rPr>
        <w:t xml:space="preserve"> </w:t>
      </w:r>
      <w:proofErr w:type="spellStart"/>
      <w:r w:rsidRPr="007D2C98">
        <w:rPr>
          <w:rFonts w:ascii="Aptos" w:hAnsi="Aptos"/>
          <w:b/>
          <w:bCs/>
          <w:color w:val="333333"/>
          <w:sz w:val="20"/>
          <w:szCs w:val="20"/>
        </w:rPr>
        <w:t>bibliographiques</w:t>
      </w:r>
      <w:proofErr w:type="spellEnd"/>
    </w:p>
    <w:p w14:paraId="491D8250" w14:textId="77777777" w:rsidR="00A356AB" w:rsidRPr="007D2C98" w:rsidRDefault="007D2C98" w:rsidP="007D2C98">
      <w:pPr>
        <w:pStyle w:val="Paragraphedeliste"/>
        <w:numPr>
          <w:ilvl w:val="0"/>
          <w:numId w:val="2"/>
        </w:numPr>
        <w:jc w:val="both"/>
        <w:rPr>
          <w:rFonts w:ascii="Aptos" w:hAnsi="Aptos"/>
          <w:sz w:val="20"/>
          <w:szCs w:val="20"/>
        </w:rPr>
      </w:pPr>
      <w:r w:rsidRPr="007D2C98">
        <w:rPr>
          <w:rFonts w:ascii="Aptos" w:hAnsi="Aptos"/>
          <w:color w:val="555555"/>
          <w:sz w:val="20"/>
          <w:szCs w:val="20"/>
        </w:rPr>
        <w:t>Wor</w:t>
      </w:r>
      <w:r w:rsidRPr="007D2C98">
        <w:rPr>
          <w:rFonts w:ascii="Aptos" w:hAnsi="Aptos"/>
          <w:color w:val="555555"/>
          <w:sz w:val="20"/>
          <w:szCs w:val="20"/>
        </w:rPr>
        <w:t xml:space="preserve">ld Bank. Digital-in-Health: Unlocking the Value for Everyone. Washington </w:t>
      </w:r>
      <w:proofErr w:type="gramStart"/>
      <w:r w:rsidRPr="007D2C98">
        <w:rPr>
          <w:rFonts w:ascii="Aptos" w:hAnsi="Aptos"/>
          <w:color w:val="555555"/>
          <w:sz w:val="20"/>
          <w:szCs w:val="20"/>
        </w:rPr>
        <w:t>DC :</w:t>
      </w:r>
      <w:proofErr w:type="gramEnd"/>
      <w:r w:rsidRPr="007D2C98">
        <w:rPr>
          <w:rFonts w:ascii="Aptos" w:hAnsi="Aptos"/>
          <w:color w:val="555555"/>
          <w:sz w:val="20"/>
          <w:szCs w:val="20"/>
        </w:rPr>
        <w:t xml:space="preserve"> World Bank, 2023.</w:t>
      </w:r>
    </w:p>
    <w:p w14:paraId="0C1D09B6" w14:textId="77777777" w:rsidR="00A356AB" w:rsidRPr="007D2C98" w:rsidRDefault="007D2C98" w:rsidP="007D2C98">
      <w:pPr>
        <w:pStyle w:val="Paragraphedeliste"/>
        <w:numPr>
          <w:ilvl w:val="0"/>
          <w:numId w:val="2"/>
        </w:numPr>
        <w:jc w:val="both"/>
        <w:rPr>
          <w:rFonts w:ascii="Aptos" w:hAnsi="Aptos"/>
          <w:sz w:val="20"/>
          <w:szCs w:val="20"/>
        </w:rPr>
      </w:pPr>
      <w:r w:rsidRPr="007D2C98">
        <w:rPr>
          <w:rFonts w:ascii="Aptos" w:hAnsi="Aptos"/>
          <w:color w:val="555555"/>
          <w:sz w:val="20"/>
          <w:szCs w:val="20"/>
        </w:rPr>
        <w:t xml:space="preserve">World Health Organization (WHO). Global Strategy on Digital Health 2020–2025. </w:t>
      </w:r>
      <w:proofErr w:type="gramStart"/>
      <w:r w:rsidRPr="007D2C98">
        <w:rPr>
          <w:rFonts w:ascii="Aptos" w:hAnsi="Aptos"/>
          <w:color w:val="555555"/>
          <w:sz w:val="20"/>
          <w:szCs w:val="20"/>
        </w:rPr>
        <w:t>Geneva :</w:t>
      </w:r>
      <w:proofErr w:type="gramEnd"/>
      <w:r w:rsidRPr="007D2C98">
        <w:rPr>
          <w:rFonts w:ascii="Aptos" w:hAnsi="Aptos"/>
          <w:color w:val="555555"/>
          <w:sz w:val="20"/>
          <w:szCs w:val="20"/>
        </w:rPr>
        <w:t xml:space="preserve"> WHO, 2021.</w:t>
      </w:r>
    </w:p>
    <w:p w14:paraId="510A4C01" w14:textId="77777777" w:rsidR="00A356AB" w:rsidRPr="007D2C98" w:rsidRDefault="007D2C98" w:rsidP="007D2C98">
      <w:pPr>
        <w:pStyle w:val="Paragraphedeliste"/>
        <w:numPr>
          <w:ilvl w:val="0"/>
          <w:numId w:val="2"/>
        </w:numPr>
        <w:jc w:val="both"/>
        <w:rPr>
          <w:rFonts w:ascii="Aptos" w:hAnsi="Aptos"/>
          <w:sz w:val="20"/>
          <w:szCs w:val="20"/>
        </w:rPr>
      </w:pPr>
      <w:r w:rsidRPr="007D2C98">
        <w:rPr>
          <w:rFonts w:ascii="Aptos" w:hAnsi="Aptos"/>
          <w:color w:val="555555"/>
          <w:sz w:val="20"/>
          <w:szCs w:val="20"/>
        </w:rPr>
        <w:t>World Bank. Digital Economy for Africa (DE4A) Initiative Progr</w:t>
      </w:r>
      <w:r w:rsidRPr="007D2C98">
        <w:rPr>
          <w:rFonts w:ascii="Aptos" w:hAnsi="Aptos"/>
          <w:color w:val="555555"/>
          <w:sz w:val="20"/>
          <w:szCs w:val="20"/>
        </w:rPr>
        <w:t xml:space="preserve">ess Report. Washington </w:t>
      </w:r>
      <w:proofErr w:type="gramStart"/>
      <w:r w:rsidRPr="007D2C98">
        <w:rPr>
          <w:rFonts w:ascii="Aptos" w:hAnsi="Aptos"/>
          <w:color w:val="555555"/>
          <w:sz w:val="20"/>
          <w:szCs w:val="20"/>
        </w:rPr>
        <w:t>DC :</w:t>
      </w:r>
      <w:proofErr w:type="gramEnd"/>
      <w:r w:rsidRPr="007D2C98">
        <w:rPr>
          <w:rFonts w:ascii="Aptos" w:hAnsi="Aptos"/>
          <w:color w:val="555555"/>
          <w:sz w:val="20"/>
          <w:szCs w:val="20"/>
        </w:rPr>
        <w:t xml:space="preserve"> World Bank, 2023.</w:t>
      </w:r>
    </w:p>
    <w:p w14:paraId="1312A7BF" w14:textId="77777777" w:rsidR="00A356AB" w:rsidRPr="007D2C98" w:rsidRDefault="007D2C98" w:rsidP="007D2C98">
      <w:pPr>
        <w:pStyle w:val="Paragraphedeliste"/>
        <w:numPr>
          <w:ilvl w:val="0"/>
          <w:numId w:val="2"/>
        </w:numPr>
        <w:jc w:val="both"/>
        <w:rPr>
          <w:rFonts w:ascii="Aptos" w:hAnsi="Aptos"/>
          <w:sz w:val="20"/>
          <w:szCs w:val="20"/>
        </w:rPr>
      </w:pPr>
      <w:r w:rsidRPr="007D2C98">
        <w:rPr>
          <w:rFonts w:ascii="Aptos" w:hAnsi="Aptos"/>
          <w:color w:val="555555"/>
          <w:sz w:val="20"/>
          <w:szCs w:val="20"/>
        </w:rPr>
        <w:t>G20 India Presidency &amp; World Health Organization. Global Initiative on Digital Health: Transforming Health Systems Through Digital Technologies. 2023.</w:t>
      </w:r>
    </w:p>
    <w:sectPr w:rsidR="00A356AB" w:rsidRPr="007D2C98" w:rsidSect="007D2C98">
      <w:pgSz w:w="11906" w:h="16838"/>
      <w:pgMar w:top="851" w:right="707" w:bottom="1440" w:left="709"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454F94"/>
    <w:multiLevelType w:val="hybridMultilevel"/>
    <w:tmpl w:val="2CE4B5EC"/>
    <w:lvl w:ilvl="0" w:tplc="980690CA">
      <w:start w:val="1"/>
      <w:numFmt w:val="decimal"/>
      <w:lvlText w:val="[%1]"/>
      <w:lvlJc w:val="left"/>
      <w:pPr>
        <w:ind w:left="540" w:hanging="360"/>
      </w:pPr>
    </w:lvl>
    <w:lvl w:ilvl="1" w:tplc="0A280624">
      <w:numFmt w:val="decimal"/>
      <w:lvlText w:val=""/>
      <w:lvlJc w:val="left"/>
    </w:lvl>
    <w:lvl w:ilvl="2" w:tplc="EE5CC226">
      <w:numFmt w:val="decimal"/>
      <w:lvlText w:val=""/>
      <w:lvlJc w:val="left"/>
    </w:lvl>
    <w:lvl w:ilvl="3" w:tplc="D528F934">
      <w:numFmt w:val="decimal"/>
      <w:lvlText w:val=""/>
      <w:lvlJc w:val="left"/>
    </w:lvl>
    <w:lvl w:ilvl="4" w:tplc="E84A2364">
      <w:numFmt w:val="decimal"/>
      <w:lvlText w:val=""/>
      <w:lvlJc w:val="left"/>
    </w:lvl>
    <w:lvl w:ilvl="5" w:tplc="2A7EA346">
      <w:numFmt w:val="decimal"/>
      <w:lvlText w:val=""/>
      <w:lvlJc w:val="left"/>
    </w:lvl>
    <w:lvl w:ilvl="6" w:tplc="67045DF4">
      <w:numFmt w:val="decimal"/>
      <w:lvlText w:val=""/>
      <w:lvlJc w:val="left"/>
    </w:lvl>
    <w:lvl w:ilvl="7" w:tplc="F404C010">
      <w:numFmt w:val="decimal"/>
      <w:lvlText w:val=""/>
      <w:lvlJc w:val="left"/>
    </w:lvl>
    <w:lvl w:ilvl="8" w:tplc="A80092CC">
      <w:numFmt w:val="decimal"/>
      <w:lvlText w:val=""/>
      <w:lvlJc w:val="left"/>
    </w:lvl>
  </w:abstractNum>
  <w:abstractNum w:abstractNumId="1" w15:restartNumberingAfterBreak="0">
    <w:nsid w:val="452B330A"/>
    <w:multiLevelType w:val="hybridMultilevel"/>
    <w:tmpl w:val="75D04524"/>
    <w:lvl w:ilvl="0" w:tplc="C0F2BE52">
      <w:start w:val="1"/>
      <w:numFmt w:val="bullet"/>
      <w:lvlText w:val="●"/>
      <w:lvlJc w:val="left"/>
      <w:pPr>
        <w:ind w:left="720" w:hanging="360"/>
      </w:pPr>
    </w:lvl>
    <w:lvl w:ilvl="1" w:tplc="EAD8EBCE">
      <w:start w:val="1"/>
      <w:numFmt w:val="bullet"/>
      <w:lvlText w:val="○"/>
      <w:lvlJc w:val="left"/>
      <w:pPr>
        <w:ind w:left="1440" w:hanging="360"/>
      </w:pPr>
    </w:lvl>
    <w:lvl w:ilvl="2" w:tplc="E7B0FFA4">
      <w:start w:val="1"/>
      <w:numFmt w:val="bullet"/>
      <w:lvlText w:val="■"/>
      <w:lvlJc w:val="left"/>
      <w:pPr>
        <w:ind w:left="2160" w:hanging="360"/>
      </w:pPr>
    </w:lvl>
    <w:lvl w:ilvl="3" w:tplc="C652C1B2">
      <w:start w:val="1"/>
      <w:numFmt w:val="bullet"/>
      <w:lvlText w:val="●"/>
      <w:lvlJc w:val="left"/>
      <w:pPr>
        <w:ind w:left="2880" w:hanging="360"/>
      </w:pPr>
    </w:lvl>
    <w:lvl w:ilvl="4" w:tplc="6BC00F2A">
      <w:start w:val="1"/>
      <w:numFmt w:val="bullet"/>
      <w:lvlText w:val="○"/>
      <w:lvlJc w:val="left"/>
      <w:pPr>
        <w:ind w:left="3600" w:hanging="360"/>
      </w:pPr>
    </w:lvl>
    <w:lvl w:ilvl="5" w:tplc="22AEBACC">
      <w:start w:val="1"/>
      <w:numFmt w:val="bullet"/>
      <w:lvlText w:val="■"/>
      <w:lvlJc w:val="left"/>
      <w:pPr>
        <w:ind w:left="4320" w:hanging="360"/>
      </w:pPr>
    </w:lvl>
    <w:lvl w:ilvl="6" w:tplc="BCA8ECFC">
      <w:start w:val="1"/>
      <w:numFmt w:val="bullet"/>
      <w:lvlText w:val="●"/>
      <w:lvlJc w:val="left"/>
      <w:pPr>
        <w:ind w:left="5040" w:hanging="360"/>
      </w:pPr>
    </w:lvl>
    <w:lvl w:ilvl="7" w:tplc="1BA4A164">
      <w:start w:val="1"/>
      <w:numFmt w:val="bullet"/>
      <w:lvlText w:val="●"/>
      <w:lvlJc w:val="left"/>
      <w:pPr>
        <w:ind w:left="5760" w:hanging="360"/>
      </w:pPr>
    </w:lvl>
    <w:lvl w:ilvl="8" w:tplc="E31ADC9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6AB"/>
    <w:rsid w:val="007D2C98"/>
    <w:rsid w:val="00A35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B48DD"/>
  <w15:docId w15:val="{E857E572-6043-45C9-8BE3-94DC9BC00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after="240"/>
      <w:outlineLvl w:val="0"/>
    </w:pPr>
    <w:rPr>
      <w:b/>
      <w:bCs/>
      <w:color w:val="1B5E8B"/>
      <w:sz w:val="30"/>
      <w:szCs w:val="30"/>
    </w:rPr>
  </w:style>
  <w:style w:type="paragraph" w:styleId="Titre2">
    <w:name w:val="heading 2"/>
    <w:uiPriority w:val="9"/>
    <w:unhideWhenUsed/>
    <w:qFormat/>
    <w:pPr>
      <w:spacing w:before="280" w:after="140"/>
      <w:outlineLvl w:val="1"/>
    </w:pPr>
    <w:rPr>
      <w:b/>
      <w:bCs/>
      <w:color w:val="1B5E8B"/>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697</Words>
  <Characters>3975</Characters>
  <Application>Microsoft Office Word</Application>
  <DocSecurity>0</DocSecurity>
  <Lines>33</Lines>
  <Paragraphs>9</Paragraphs>
  <ScaleCrop>false</ScaleCrop>
  <Company/>
  <LinksUpToDate>false</LinksUpToDate>
  <CharactersWithSpaces>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Hope AKOHOUVI AMOU [SANTE]</cp:lastModifiedBy>
  <cp:revision>2</cp:revision>
  <dcterms:created xsi:type="dcterms:W3CDTF">2026-05-17T10:56:00Z</dcterms:created>
  <dcterms:modified xsi:type="dcterms:W3CDTF">2026-05-17T11:00:00Z</dcterms:modified>
</cp:coreProperties>
</file>