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E910C" w14:textId="77777777" w:rsidR="005D3EE9" w:rsidRPr="00C62375" w:rsidRDefault="00C62375" w:rsidP="00C62375">
      <w:pPr>
        <w:pStyle w:val="Titre1"/>
        <w:jc w:val="center"/>
        <w:rPr>
          <w:rFonts w:ascii="Aptos" w:hAnsi="Aptos"/>
          <w:color w:val="002060"/>
          <w:sz w:val="28"/>
          <w:szCs w:val="28"/>
          <w:lang w:val="fr-FR"/>
        </w:rPr>
      </w:pPr>
      <w:r w:rsidRPr="00C62375">
        <w:rPr>
          <w:rFonts w:ascii="Aptos" w:hAnsi="Aptos"/>
          <w:color w:val="002060"/>
          <w:sz w:val="28"/>
          <w:szCs w:val="28"/>
          <w:lang w:val="fr-FR"/>
        </w:rPr>
        <w:t>Traçabilité pharmaceutique : sécuriser le médicament, c’est protéger le patient</w:t>
      </w:r>
    </w:p>
    <w:p w14:paraId="760F4CFA" w14:textId="77777777" w:rsidR="005D3EE9" w:rsidRPr="00C62375" w:rsidRDefault="00C62375" w:rsidP="00C62375">
      <w:pPr>
        <w:spacing w:after="180"/>
        <w:jc w:val="both"/>
        <w:rPr>
          <w:rFonts w:ascii="Aptos" w:hAnsi="Aptos"/>
          <w:sz w:val="24"/>
          <w:szCs w:val="24"/>
          <w:lang w:val="fr-FR"/>
        </w:rPr>
      </w:pPr>
      <w:r w:rsidRPr="00C62375">
        <w:rPr>
          <w:rFonts w:ascii="Aptos" w:hAnsi="Aptos"/>
          <w:sz w:val="24"/>
          <w:szCs w:val="24"/>
          <w:lang w:val="fr-FR"/>
        </w:rPr>
        <w:t>Un patient achète un antipaludique dans une officine. Il suit scrupuleusement son traitement. La fièvre ne tombe pas. Ce qui ressemblait à un échec thérapeutique est en réalité autre chose : le médicament qu’il a pris n’était pas ce qu’il croyait. Il était</w:t>
      </w:r>
      <w:r w:rsidRPr="00C62375">
        <w:rPr>
          <w:rFonts w:ascii="Aptos" w:hAnsi="Aptos"/>
          <w:sz w:val="24"/>
          <w:szCs w:val="24"/>
          <w:lang w:val="fr-FR"/>
        </w:rPr>
        <w:t xml:space="preserve"> falsifié, sous-dosé, ou périmé depuis des mois. Ce scénario, loin d’être exceptionnel, se reproduit quotidiennement à travers le continent africain — avec des conséquences qui vont bien au-delà de l’échec du traitement individuel.</w:t>
      </w:r>
    </w:p>
    <w:p w14:paraId="440907EF" w14:textId="77777777" w:rsidR="005D3EE9" w:rsidRPr="00C62375" w:rsidRDefault="00C62375" w:rsidP="00C62375">
      <w:pPr>
        <w:spacing w:after="180"/>
        <w:jc w:val="both"/>
        <w:rPr>
          <w:rFonts w:ascii="Aptos" w:hAnsi="Aptos"/>
          <w:sz w:val="24"/>
          <w:szCs w:val="24"/>
          <w:lang w:val="fr-FR"/>
        </w:rPr>
      </w:pPr>
      <w:r w:rsidRPr="00C62375">
        <w:rPr>
          <w:rFonts w:ascii="Aptos" w:hAnsi="Aptos"/>
          <w:sz w:val="24"/>
          <w:szCs w:val="24"/>
          <w:lang w:val="fr-FR"/>
        </w:rPr>
        <w:t>Selon des recherches rel</w:t>
      </w:r>
      <w:r w:rsidRPr="00C62375">
        <w:rPr>
          <w:rFonts w:ascii="Aptos" w:hAnsi="Aptos"/>
          <w:sz w:val="24"/>
          <w:szCs w:val="24"/>
          <w:lang w:val="fr-FR"/>
        </w:rPr>
        <w:t>ayées par des organisations internationales, près de 20 % des médicaments circulant en Afrique pourraient être substandard ou falsifiés [1]. Ce chiffre, aussi alarmant soit-il, ne révèle que la partie visible du problème. Derrière ce pourcentage se cachent</w:t>
      </w:r>
      <w:r w:rsidRPr="00C62375">
        <w:rPr>
          <w:rFonts w:ascii="Aptos" w:hAnsi="Aptos"/>
          <w:sz w:val="24"/>
          <w:szCs w:val="24"/>
          <w:lang w:val="fr-FR"/>
        </w:rPr>
        <w:t xml:space="preserve"> des systèmes immunitaires compromis, des résistances antimicrobiennes accentuées, des décès évitables et une érosion profonde de la confiance des populations dans leurs systèmes de santé. L’Organisation mondiale de la Santé le souligne sans ambiguïté : le</w:t>
      </w:r>
      <w:r w:rsidRPr="00C62375">
        <w:rPr>
          <w:rFonts w:ascii="Aptos" w:hAnsi="Aptos"/>
          <w:sz w:val="24"/>
          <w:szCs w:val="24"/>
          <w:lang w:val="fr-FR"/>
        </w:rPr>
        <w:t>s produits médicaux falsifiés ou de qualité inférieure constituent une menace sanitaire majeure, contribuant directement à l’augmentation de la mortalité évitable et à l’échec des programmes de santé publique [2].</w:t>
      </w:r>
    </w:p>
    <w:p w14:paraId="29823212" w14:textId="77777777" w:rsidR="005D3EE9" w:rsidRPr="00C62375" w:rsidRDefault="00C62375" w:rsidP="00C62375">
      <w:pPr>
        <w:pStyle w:val="Titre2"/>
        <w:jc w:val="both"/>
        <w:rPr>
          <w:rFonts w:ascii="Aptos" w:hAnsi="Aptos"/>
          <w:color w:val="C45911" w:themeColor="accent2" w:themeShade="BF"/>
          <w:lang w:val="fr-FR"/>
        </w:rPr>
      </w:pPr>
      <w:r w:rsidRPr="00C62375">
        <w:rPr>
          <w:rFonts w:ascii="Aptos" w:hAnsi="Aptos"/>
          <w:color w:val="C45911" w:themeColor="accent2" w:themeShade="BF"/>
          <w:lang w:val="fr-FR"/>
        </w:rPr>
        <w:t>La traçabilité : bien plus qu’un outil tec</w:t>
      </w:r>
      <w:r w:rsidRPr="00C62375">
        <w:rPr>
          <w:rFonts w:ascii="Aptos" w:hAnsi="Aptos"/>
          <w:color w:val="C45911" w:themeColor="accent2" w:themeShade="BF"/>
          <w:lang w:val="fr-FR"/>
        </w:rPr>
        <w:t>hnique</w:t>
      </w:r>
    </w:p>
    <w:p w14:paraId="02C792A4" w14:textId="77777777" w:rsidR="005D3EE9" w:rsidRPr="00C62375" w:rsidRDefault="00C62375" w:rsidP="00C62375">
      <w:pPr>
        <w:spacing w:after="180"/>
        <w:jc w:val="both"/>
        <w:rPr>
          <w:rFonts w:ascii="Aptos" w:hAnsi="Aptos"/>
          <w:sz w:val="24"/>
          <w:szCs w:val="24"/>
          <w:lang w:val="fr-FR"/>
        </w:rPr>
      </w:pPr>
      <w:r w:rsidRPr="00C62375">
        <w:rPr>
          <w:rFonts w:ascii="Aptos" w:hAnsi="Aptos"/>
          <w:sz w:val="24"/>
          <w:szCs w:val="24"/>
          <w:lang w:val="fr-FR"/>
        </w:rPr>
        <w:t>Face à cette réalité, les systèmes modernes de traçabilité pharmaceutique s’imposent comme une réponse stratégique inéluctable. Fondés sur des standards internationaux reconnus comme ceux de GS1, ces systèmes permettent de suivre chaque produit de s</w:t>
      </w:r>
      <w:r w:rsidRPr="00C62375">
        <w:rPr>
          <w:rFonts w:ascii="Aptos" w:hAnsi="Aptos"/>
          <w:sz w:val="24"/>
          <w:szCs w:val="24"/>
          <w:lang w:val="fr-FR"/>
        </w:rPr>
        <w:t>anté tout au long de la chaîne d’approvisionnement — de la sortie des lignes de fabrication jusqu’à la main du patient — en assurant son identification unique, la vérification de son authenticité et la détection de toute anomalie ou détournement [3].</w:t>
      </w:r>
    </w:p>
    <w:p w14:paraId="3D515699" w14:textId="77777777" w:rsidR="005D3EE9" w:rsidRPr="00C62375" w:rsidRDefault="00C62375" w:rsidP="00C62375">
      <w:pPr>
        <w:spacing w:after="180"/>
        <w:jc w:val="both"/>
        <w:rPr>
          <w:rFonts w:ascii="Aptos" w:hAnsi="Aptos"/>
          <w:sz w:val="24"/>
          <w:szCs w:val="24"/>
          <w:lang w:val="fr-FR"/>
        </w:rPr>
      </w:pPr>
      <w:r w:rsidRPr="00C62375">
        <w:rPr>
          <w:rFonts w:ascii="Aptos" w:hAnsi="Aptos"/>
          <w:sz w:val="24"/>
          <w:szCs w:val="24"/>
          <w:lang w:val="fr-FR"/>
        </w:rPr>
        <w:t xml:space="preserve">Mais </w:t>
      </w:r>
      <w:r w:rsidRPr="00C62375">
        <w:rPr>
          <w:rFonts w:ascii="Aptos" w:hAnsi="Aptos"/>
          <w:sz w:val="24"/>
          <w:szCs w:val="24"/>
          <w:lang w:val="fr-FR"/>
        </w:rPr>
        <w:t xml:space="preserve">réduire la traçabilité à un simple outil </w:t>
      </w:r>
      <w:proofErr w:type="spellStart"/>
      <w:r w:rsidRPr="00C62375">
        <w:rPr>
          <w:rFonts w:ascii="Aptos" w:hAnsi="Aptos"/>
          <w:sz w:val="24"/>
          <w:szCs w:val="24"/>
          <w:lang w:val="fr-FR"/>
        </w:rPr>
        <w:t>anti-contrefçon</w:t>
      </w:r>
      <w:proofErr w:type="spellEnd"/>
      <w:r w:rsidRPr="00C62375">
        <w:rPr>
          <w:rFonts w:ascii="Aptos" w:hAnsi="Aptos"/>
          <w:sz w:val="24"/>
          <w:szCs w:val="24"/>
          <w:lang w:val="fr-FR"/>
        </w:rPr>
        <w:t xml:space="preserve"> serait en limiter considérablement la portée. Un système de traçabilité bien déployé renforce simultanément le contrôle réglementaire, améliore la surveillance du marché pharmaceutique, optimise la g</w:t>
      </w:r>
      <w:r w:rsidRPr="00C62375">
        <w:rPr>
          <w:rFonts w:ascii="Aptos" w:hAnsi="Aptos"/>
          <w:sz w:val="24"/>
          <w:szCs w:val="24"/>
          <w:lang w:val="fr-FR"/>
        </w:rPr>
        <w:t>estion des stocks, sécurise les circuits de distribution et fournit aux autorités nationales une visibilité en temps réel sur les flux de produits. Il transforme des chaînes d’approvisionnement autrefois opaques en écosystèmes transparents, gouvernables et</w:t>
      </w:r>
      <w:r w:rsidRPr="00C62375">
        <w:rPr>
          <w:rFonts w:ascii="Aptos" w:hAnsi="Aptos"/>
          <w:sz w:val="24"/>
          <w:szCs w:val="24"/>
          <w:lang w:val="fr-FR"/>
        </w:rPr>
        <w:t xml:space="preserve"> auditable.</w:t>
      </w:r>
    </w:p>
    <w:p w14:paraId="74740E30" w14:textId="77777777" w:rsidR="005D3EE9" w:rsidRPr="00C62375" w:rsidRDefault="00C62375" w:rsidP="00C62375">
      <w:pPr>
        <w:pStyle w:val="Titre2"/>
        <w:jc w:val="both"/>
        <w:rPr>
          <w:rFonts w:ascii="Aptos" w:hAnsi="Aptos"/>
          <w:color w:val="C45911" w:themeColor="accent2" w:themeShade="BF"/>
          <w:lang w:val="fr-FR"/>
        </w:rPr>
      </w:pPr>
      <w:r w:rsidRPr="00C62375">
        <w:rPr>
          <w:rFonts w:ascii="Aptos" w:hAnsi="Aptos"/>
          <w:color w:val="C45911" w:themeColor="accent2" w:themeShade="BF"/>
          <w:lang w:val="fr-FR"/>
        </w:rPr>
        <w:t>De la sérialisation à la souveraineté pharmaceutique</w:t>
      </w:r>
    </w:p>
    <w:p w14:paraId="235139C8" w14:textId="77777777" w:rsidR="005D3EE9" w:rsidRPr="00C62375" w:rsidRDefault="00C62375" w:rsidP="00C62375">
      <w:pPr>
        <w:spacing w:after="180"/>
        <w:jc w:val="both"/>
        <w:rPr>
          <w:rFonts w:ascii="Aptos" w:hAnsi="Aptos"/>
          <w:sz w:val="24"/>
          <w:szCs w:val="24"/>
          <w:lang w:val="fr-FR"/>
        </w:rPr>
      </w:pPr>
      <w:r w:rsidRPr="00C62375">
        <w:rPr>
          <w:rFonts w:ascii="Aptos" w:hAnsi="Aptos"/>
          <w:sz w:val="24"/>
          <w:szCs w:val="24"/>
          <w:lang w:val="fr-FR"/>
        </w:rPr>
        <w:t>Selon GS1 Healthcare, les systèmes de sérialisation et de traçabilité permettent d’améliorer la visibilité des produits pharmaceutiques tout au long de la chaîne d’approvisionnement et de ren</w:t>
      </w:r>
      <w:r w:rsidRPr="00C62375">
        <w:rPr>
          <w:rFonts w:ascii="Aptos" w:hAnsi="Aptos"/>
          <w:sz w:val="24"/>
          <w:szCs w:val="24"/>
          <w:lang w:val="fr-FR"/>
        </w:rPr>
        <w:t>forcer les capacités des autorités réglementaires à détecter les anomalies et les risques de fraude [3]. Dans les pays qui ont engagé cette transition, les autorités nationales du médicament disposent d’un levier qu’elles n’avaient pas auparavant : la capa</w:t>
      </w:r>
      <w:r w:rsidRPr="00C62375">
        <w:rPr>
          <w:rFonts w:ascii="Aptos" w:hAnsi="Aptos"/>
          <w:sz w:val="24"/>
          <w:szCs w:val="24"/>
          <w:lang w:val="fr-FR"/>
        </w:rPr>
        <w:t>cité d’agir sur leur marché pharmaceutique avec des données, pas seulement avec des inspections ponctuelles.</w:t>
      </w:r>
    </w:p>
    <w:p w14:paraId="7E226852" w14:textId="77777777" w:rsidR="005D3EE9" w:rsidRPr="00C62375" w:rsidRDefault="00C62375" w:rsidP="00C62375">
      <w:pPr>
        <w:spacing w:after="180"/>
        <w:jc w:val="both"/>
        <w:rPr>
          <w:rFonts w:ascii="Aptos" w:hAnsi="Aptos"/>
          <w:sz w:val="24"/>
          <w:szCs w:val="24"/>
          <w:lang w:val="fr-FR"/>
        </w:rPr>
      </w:pPr>
      <w:r w:rsidRPr="00C62375">
        <w:rPr>
          <w:rFonts w:ascii="Aptos" w:hAnsi="Aptos"/>
          <w:sz w:val="24"/>
          <w:szCs w:val="24"/>
          <w:lang w:val="fr-FR"/>
        </w:rPr>
        <w:t xml:space="preserve">Cette transformation représente un saut qualitatif considérable. Elle fait passer les autorités réglementaires d’une posture réactive — intervenir </w:t>
      </w:r>
      <w:r w:rsidRPr="00C62375">
        <w:rPr>
          <w:rFonts w:ascii="Aptos" w:hAnsi="Aptos"/>
          <w:sz w:val="24"/>
          <w:szCs w:val="24"/>
          <w:lang w:val="fr-FR"/>
        </w:rPr>
        <w:t>après qu’un problème a été signalé — à une posture proactive, capable de détecter les anomalies en amont, de cartographier les circuits à risque et de cibler les inspections là où elles sont réellement nécessaires. Plusieurs institutions internationales, d</w:t>
      </w:r>
      <w:r w:rsidRPr="00C62375">
        <w:rPr>
          <w:rFonts w:ascii="Aptos" w:hAnsi="Aptos"/>
          <w:sz w:val="24"/>
          <w:szCs w:val="24"/>
          <w:lang w:val="fr-FR"/>
        </w:rPr>
        <w:t>ont la Banque mondiale et l’OMS, encouragent d’ailleurs les pays à investir dans des plateformes numériques intégrées permettant d’améliorer la gouvernance pharmaceutique et la gestion des données réglementaires [4].</w:t>
      </w:r>
    </w:p>
    <w:p w14:paraId="09091A9D" w14:textId="77777777" w:rsidR="005D3EE9" w:rsidRPr="00C62375" w:rsidRDefault="00C62375" w:rsidP="00C62375">
      <w:pPr>
        <w:pStyle w:val="Titre2"/>
        <w:jc w:val="both"/>
        <w:rPr>
          <w:rFonts w:ascii="Aptos" w:hAnsi="Aptos"/>
          <w:color w:val="C45911" w:themeColor="accent2" w:themeShade="BF"/>
          <w:lang w:val="fr-FR"/>
        </w:rPr>
      </w:pPr>
      <w:r w:rsidRPr="00C62375">
        <w:rPr>
          <w:rFonts w:ascii="Aptos" w:hAnsi="Aptos"/>
          <w:color w:val="C45911" w:themeColor="accent2" w:themeShade="BF"/>
          <w:lang w:val="fr-FR"/>
        </w:rPr>
        <w:t>Un écosystème numérique au service de l</w:t>
      </w:r>
      <w:r w:rsidRPr="00C62375">
        <w:rPr>
          <w:rFonts w:ascii="Aptos" w:hAnsi="Aptos"/>
          <w:color w:val="C45911" w:themeColor="accent2" w:themeShade="BF"/>
          <w:lang w:val="fr-FR"/>
        </w:rPr>
        <w:t>a confiance publique</w:t>
      </w:r>
    </w:p>
    <w:p w14:paraId="3D4EA039" w14:textId="77777777" w:rsidR="005D3EE9" w:rsidRPr="00C62375" w:rsidRDefault="00C62375" w:rsidP="00C62375">
      <w:pPr>
        <w:spacing w:after="180"/>
        <w:jc w:val="both"/>
        <w:rPr>
          <w:rFonts w:ascii="Aptos" w:hAnsi="Aptos"/>
          <w:sz w:val="24"/>
          <w:szCs w:val="24"/>
          <w:lang w:val="fr-FR"/>
        </w:rPr>
      </w:pPr>
      <w:r w:rsidRPr="00C62375">
        <w:rPr>
          <w:rFonts w:ascii="Aptos" w:hAnsi="Aptos"/>
          <w:sz w:val="24"/>
          <w:szCs w:val="24"/>
          <w:lang w:val="fr-FR"/>
        </w:rPr>
        <w:lastRenderedPageBreak/>
        <w:t>Les initiatives de digitalisation pharmaceutique menées dans plusieurs pays africains traduisent une volonté croissante de construire des systèmes plus souverains, plus transparents et davantage orientés vers la donnée. Cette évolution</w:t>
      </w:r>
      <w:r w:rsidRPr="00C62375">
        <w:rPr>
          <w:rFonts w:ascii="Aptos" w:hAnsi="Aptos"/>
          <w:sz w:val="24"/>
          <w:szCs w:val="24"/>
          <w:lang w:val="fr-FR"/>
        </w:rPr>
        <w:t xml:space="preserve"> dépasse largement le cadre technique : elle touche à la relation de confiance entre l’État, le système de santé et les populations.</w:t>
      </w:r>
    </w:p>
    <w:p w14:paraId="0C658479" w14:textId="77777777" w:rsidR="005D3EE9" w:rsidRPr="00C62375" w:rsidRDefault="00C62375" w:rsidP="00C62375">
      <w:pPr>
        <w:spacing w:after="180"/>
        <w:jc w:val="both"/>
        <w:rPr>
          <w:rFonts w:ascii="Aptos" w:hAnsi="Aptos"/>
          <w:sz w:val="24"/>
          <w:szCs w:val="24"/>
          <w:lang w:val="fr-FR"/>
        </w:rPr>
      </w:pPr>
      <w:r w:rsidRPr="00C62375">
        <w:rPr>
          <w:rFonts w:ascii="Aptos" w:hAnsi="Aptos"/>
          <w:sz w:val="24"/>
          <w:szCs w:val="24"/>
          <w:lang w:val="fr-FR"/>
        </w:rPr>
        <w:t>Un système pharmaceutique traçable est un système dans lequel le patient peut avoir confiance. C’est un système dans lequel</w:t>
      </w:r>
      <w:r w:rsidRPr="00C62375">
        <w:rPr>
          <w:rFonts w:ascii="Aptos" w:hAnsi="Aptos"/>
          <w:sz w:val="24"/>
          <w:szCs w:val="24"/>
          <w:lang w:val="fr-FR"/>
        </w:rPr>
        <w:t xml:space="preserve"> le médecin qui prescrit sait que le médicament dispensé est bien celui qu’il a indiqué. C’est un système dans lequel l’État peut exercer pleinement sa responsabilité de protection sanitaire. En ce sens, la traçabilité pharmaceutique est bien plus qu’une e</w:t>
      </w:r>
      <w:r w:rsidRPr="00C62375">
        <w:rPr>
          <w:rFonts w:ascii="Aptos" w:hAnsi="Aptos"/>
          <w:sz w:val="24"/>
          <w:szCs w:val="24"/>
          <w:lang w:val="fr-FR"/>
        </w:rPr>
        <w:t>xigence technique : elle est un acte de souveraineté sanitaire.</w:t>
      </w:r>
    </w:p>
    <w:p w14:paraId="2D97E0A9" w14:textId="77777777" w:rsidR="005D3EE9" w:rsidRPr="00C62375" w:rsidRDefault="00C62375" w:rsidP="00C62375">
      <w:pPr>
        <w:spacing w:after="180"/>
        <w:jc w:val="both"/>
        <w:rPr>
          <w:rFonts w:ascii="Aptos" w:hAnsi="Aptos"/>
          <w:sz w:val="24"/>
          <w:szCs w:val="24"/>
          <w:lang w:val="fr-FR"/>
        </w:rPr>
      </w:pPr>
      <w:r w:rsidRPr="00C62375">
        <w:rPr>
          <w:rFonts w:ascii="Aptos" w:hAnsi="Aptos"/>
          <w:sz w:val="24"/>
          <w:szCs w:val="24"/>
          <w:lang w:val="fr-FR"/>
        </w:rPr>
        <w:t xml:space="preserve">Mais cette souveraineté ne peut s’exercer pleinement sans une gouvernance institutionnelle à la hauteur des enjeux. </w:t>
      </w:r>
      <w:r w:rsidRPr="00C62375">
        <w:rPr>
          <w:rFonts w:ascii="Aptos" w:hAnsi="Aptos"/>
          <w:sz w:val="24"/>
          <w:szCs w:val="24"/>
          <w:lang w:val="fr-FR"/>
        </w:rPr>
        <w:t>C’est la dimension que nous explorons dans l’article suivant.</w:t>
      </w:r>
    </w:p>
    <w:p w14:paraId="68D0ED95" w14:textId="77777777" w:rsidR="00C62375" w:rsidRDefault="00C62375" w:rsidP="00C62375">
      <w:pPr>
        <w:spacing w:before="120" w:after="120"/>
        <w:jc w:val="both"/>
        <w:rPr>
          <w:rFonts w:ascii="Aptos" w:hAnsi="Aptos"/>
          <w:b/>
          <w:bCs/>
          <w:color w:val="333333"/>
          <w:sz w:val="24"/>
          <w:szCs w:val="24"/>
          <w:lang w:val="fr-FR"/>
        </w:rPr>
      </w:pPr>
    </w:p>
    <w:p w14:paraId="2FCDE222" w14:textId="1E16B956" w:rsidR="005D3EE9" w:rsidRPr="00C62375" w:rsidRDefault="00C62375" w:rsidP="00C62375">
      <w:pPr>
        <w:spacing w:before="120" w:after="120"/>
        <w:jc w:val="both"/>
        <w:rPr>
          <w:rFonts w:ascii="Aptos" w:hAnsi="Aptos"/>
          <w:sz w:val="20"/>
          <w:szCs w:val="20"/>
          <w:lang w:val="fr-FR"/>
        </w:rPr>
      </w:pPr>
      <w:r w:rsidRPr="00C62375">
        <w:rPr>
          <w:rFonts w:ascii="Aptos" w:hAnsi="Aptos"/>
          <w:b/>
          <w:bCs/>
          <w:color w:val="333333"/>
          <w:sz w:val="20"/>
          <w:szCs w:val="20"/>
          <w:lang w:val="fr-FR"/>
        </w:rPr>
        <w:t>Références bi</w:t>
      </w:r>
      <w:r w:rsidRPr="00C62375">
        <w:rPr>
          <w:rFonts w:ascii="Aptos" w:hAnsi="Aptos"/>
          <w:b/>
          <w:bCs/>
          <w:color w:val="333333"/>
          <w:sz w:val="20"/>
          <w:szCs w:val="20"/>
          <w:lang w:val="fr-FR"/>
        </w:rPr>
        <w:t>bliographiques</w:t>
      </w:r>
    </w:p>
    <w:p w14:paraId="086901A1" w14:textId="77777777" w:rsidR="005D3EE9" w:rsidRPr="00C62375" w:rsidRDefault="00C62375" w:rsidP="00C62375">
      <w:pPr>
        <w:pStyle w:val="Paragraphedeliste"/>
        <w:numPr>
          <w:ilvl w:val="0"/>
          <w:numId w:val="2"/>
        </w:numPr>
        <w:spacing w:after="80"/>
        <w:jc w:val="both"/>
        <w:rPr>
          <w:rFonts w:ascii="Aptos" w:hAnsi="Aptos"/>
          <w:sz w:val="20"/>
          <w:szCs w:val="20"/>
        </w:rPr>
      </w:pPr>
      <w:r w:rsidRPr="00C62375">
        <w:rPr>
          <w:rFonts w:ascii="Aptos" w:hAnsi="Aptos"/>
          <w:color w:val="555555"/>
          <w:sz w:val="20"/>
          <w:szCs w:val="20"/>
        </w:rPr>
        <w:t>Ozawa, S. et al. Prevalence and Estimated Economic Burden of Substandard and Falsified Medicines in Low- and Middle-Income Countries. JAMA Network Open, 2018.</w:t>
      </w:r>
    </w:p>
    <w:p w14:paraId="3F7037B5" w14:textId="77777777" w:rsidR="005D3EE9" w:rsidRPr="00C62375" w:rsidRDefault="00C62375" w:rsidP="00C62375">
      <w:pPr>
        <w:pStyle w:val="Paragraphedeliste"/>
        <w:numPr>
          <w:ilvl w:val="0"/>
          <w:numId w:val="2"/>
        </w:numPr>
        <w:spacing w:after="80"/>
        <w:jc w:val="both"/>
        <w:rPr>
          <w:rFonts w:ascii="Aptos" w:hAnsi="Aptos"/>
          <w:sz w:val="20"/>
          <w:szCs w:val="20"/>
        </w:rPr>
      </w:pPr>
      <w:r w:rsidRPr="00C62375">
        <w:rPr>
          <w:rFonts w:ascii="Aptos" w:hAnsi="Aptos"/>
          <w:color w:val="555555"/>
          <w:sz w:val="20"/>
          <w:szCs w:val="20"/>
        </w:rPr>
        <w:t>World Health Organization (WHO). Substandard and Falsified Medical Products Fact S</w:t>
      </w:r>
      <w:r w:rsidRPr="00C62375">
        <w:rPr>
          <w:rFonts w:ascii="Aptos" w:hAnsi="Aptos"/>
          <w:color w:val="555555"/>
          <w:sz w:val="20"/>
          <w:szCs w:val="20"/>
        </w:rPr>
        <w:t xml:space="preserve">heet. </w:t>
      </w:r>
      <w:proofErr w:type="gramStart"/>
      <w:r w:rsidRPr="00C62375">
        <w:rPr>
          <w:rFonts w:ascii="Aptos" w:hAnsi="Aptos"/>
          <w:color w:val="555555"/>
          <w:sz w:val="20"/>
          <w:szCs w:val="20"/>
        </w:rPr>
        <w:t>Geneva :</w:t>
      </w:r>
      <w:proofErr w:type="gramEnd"/>
      <w:r w:rsidRPr="00C62375">
        <w:rPr>
          <w:rFonts w:ascii="Aptos" w:hAnsi="Aptos"/>
          <w:color w:val="555555"/>
          <w:sz w:val="20"/>
          <w:szCs w:val="20"/>
        </w:rPr>
        <w:t xml:space="preserve"> WHO, 2023.</w:t>
      </w:r>
    </w:p>
    <w:p w14:paraId="4F15F9C3" w14:textId="77777777" w:rsidR="005D3EE9" w:rsidRPr="00C62375" w:rsidRDefault="00C62375" w:rsidP="00C62375">
      <w:pPr>
        <w:pStyle w:val="Paragraphedeliste"/>
        <w:numPr>
          <w:ilvl w:val="0"/>
          <w:numId w:val="2"/>
        </w:numPr>
        <w:spacing w:after="80"/>
        <w:jc w:val="both"/>
        <w:rPr>
          <w:rFonts w:ascii="Aptos" w:hAnsi="Aptos"/>
          <w:sz w:val="20"/>
          <w:szCs w:val="20"/>
        </w:rPr>
      </w:pPr>
      <w:r w:rsidRPr="00C62375">
        <w:rPr>
          <w:rFonts w:ascii="Aptos" w:hAnsi="Aptos"/>
          <w:color w:val="555555"/>
          <w:sz w:val="20"/>
          <w:szCs w:val="20"/>
        </w:rPr>
        <w:t xml:space="preserve">GS1 Healthcare. Global Standards for Healthcare Supply Chain Traceability. </w:t>
      </w:r>
      <w:proofErr w:type="gramStart"/>
      <w:r w:rsidRPr="00C62375">
        <w:rPr>
          <w:rFonts w:ascii="Aptos" w:hAnsi="Aptos"/>
          <w:color w:val="555555"/>
          <w:sz w:val="20"/>
          <w:szCs w:val="20"/>
        </w:rPr>
        <w:t>Brussels :</w:t>
      </w:r>
      <w:proofErr w:type="gramEnd"/>
      <w:r w:rsidRPr="00C62375">
        <w:rPr>
          <w:rFonts w:ascii="Aptos" w:hAnsi="Aptos"/>
          <w:color w:val="555555"/>
          <w:sz w:val="20"/>
          <w:szCs w:val="20"/>
        </w:rPr>
        <w:t xml:space="preserve"> GS1 Healthcare.</w:t>
      </w:r>
    </w:p>
    <w:p w14:paraId="191B93F8" w14:textId="77777777" w:rsidR="005D3EE9" w:rsidRPr="00C62375" w:rsidRDefault="00C62375" w:rsidP="00C62375">
      <w:pPr>
        <w:pStyle w:val="Paragraphedeliste"/>
        <w:numPr>
          <w:ilvl w:val="0"/>
          <w:numId w:val="2"/>
        </w:numPr>
        <w:spacing w:after="80"/>
        <w:jc w:val="both"/>
        <w:rPr>
          <w:rFonts w:ascii="Aptos" w:hAnsi="Aptos"/>
          <w:sz w:val="20"/>
          <w:szCs w:val="20"/>
        </w:rPr>
      </w:pPr>
      <w:r w:rsidRPr="00C62375">
        <w:rPr>
          <w:rFonts w:ascii="Aptos" w:hAnsi="Aptos"/>
          <w:color w:val="555555"/>
          <w:sz w:val="20"/>
          <w:szCs w:val="20"/>
        </w:rPr>
        <w:t>World Bank &amp; World Health Organization (WHO). Digital Health and Pharmaceutical Governance in Developing Health Systems. Washing</w:t>
      </w:r>
      <w:r w:rsidRPr="00C62375">
        <w:rPr>
          <w:rFonts w:ascii="Aptos" w:hAnsi="Aptos"/>
          <w:color w:val="555555"/>
          <w:sz w:val="20"/>
          <w:szCs w:val="20"/>
        </w:rPr>
        <w:t>ton DC / Geneva, 2022.</w:t>
      </w:r>
    </w:p>
    <w:sectPr w:rsidR="005D3EE9" w:rsidRPr="00C62375" w:rsidSect="00C62375">
      <w:pgSz w:w="11906" w:h="16838"/>
      <w:pgMar w:top="709" w:right="566" w:bottom="1440" w:left="70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37B7E"/>
    <w:multiLevelType w:val="hybridMultilevel"/>
    <w:tmpl w:val="BB48529C"/>
    <w:lvl w:ilvl="0" w:tplc="AE3E0DE8">
      <w:start w:val="1"/>
      <w:numFmt w:val="bullet"/>
      <w:lvlText w:val="●"/>
      <w:lvlJc w:val="left"/>
      <w:pPr>
        <w:ind w:left="720" w:hanging="360"/>
      </w:pPr>
    </w:lvl>
    <w:lvl w:ilvl="1" w:tplc="B796878A">
      <w:start w:val="1"/>
      <w:numFmt w:val="bullet"/>
      <w:lvlText w:val="○"/>
      <w:lvlJc w:val="left"/>
      <w:pPr>
        <w:ind w:left="1440" w:hanging="360"/>
      </w:pPr>
    </w:lvl>
    <w:lvl w:ilvl="2" w:tplc="42646638">
      <w:start w:val="1"/>
      <w:numFmt w:val="bullet"/>
      <w:lvlText w:val="■"/>
      <w:lvlJc w:val="left"/>
      <w:pPr>
        <w:ind w:left="2160" w:hanging="360"/>
      </w:pPr>
    </w:lvl>
    <w:lvl w:ilvl="3" w:tplc="DDA80A60">
      <w:start w:val="1"/>
      <w:numFmt w:val="bullet"/>
      <w:lvlText w:val="●"/>
      <w:lvlJc w:val="left"/>
      <w:pPr>
        <w:ind w:left="2880" w:hanging="360"/>
      </w:pPr>
    </w:lvl>
    <w:lvl w:ilvl="4" w:tplc="56E05656">
      <w:start w:val="1"/>
      <w:numFmt w:val="bullet"/>
      <w:lvlText w:val="○"/>
      <w:lvlJc w:val="left"/>
      <w:pPr>
        <w:ind w:left="3600" w:hanging="360"/>
      </w:pPr>
    </w:lvl>
    <w:lvl w:ilvl="5" w:tplc="7ED29E72">
      <w:start w:val="1"/>
      <w:numFmt w:val="bullet"/>
      <w:lvlText w:val="■"/>
      <w:lvlJc w:val="left"/>
      <w:pPr>
        <w:ind w:left="4320" w:hanging="360"/>
      </w:pPr>
    </w:lvl>
    <w:lvl w:ilvl="6" w:tplc="0E88B624">
      <w:start w:val="1"/>
      <w:numFmt w:val="bullet"/>
      <w:lvlText w:val="●"/>
      <w:lvlJc w:val="left"/>
      <w:pPr>
        <w:ind w:left="5040" w:hanging="360"/>
      </w:pPr>
    </w:lvl>
    <w:lvl w:ilvl="7" w:tplc="29D4F1AC">
      <w:start w:val="1"/>
      <w:numFmt w:val="bullet"/>
      <w:lvlText w:val="●"/>
      <w:lvlJc w:val="left"/>
      <w:pPr>
        <w:ind w:left="5760" w:hanging="360"/>
      </w:pPr>
    </w:lvl>
    <w:lvl w:ilvl="8" w:tplc="03AC47C0">
      <w:start w:val="1"/>
      <w:numFmt w:val="bullet"/>
      <w:lvlText w:val="●"/>
      <w:lvlJc w:val="left"/>
      <w:pPr>
        <w:ind w:left="6480" w:hanging="360"/>
      </w:pPr>
    </w:lvl>
  </w:abstractNum>
  <w:abstractNum w:abstractNumId="1" w15:restartNumberingAfterBreak="0">
    <w:nsid w:val="78EF4DB0"/>
    <w:multiLevelType w:val="hybridMultilevel"/>
    <w:tmpl w:val="556A3C48"/>
    <w:lvl w:ilvl="0" w:tplc="E8B0273E">
      <w:start w:val="1"/>
      <w:numFmt w:val="decimal"/>
      <w:lvlText w:val="[%1]"/>
      <w:lvlJc w:val="left"/>
      <w:pPr>
        <w:ind w:left="540" w:hanging="360"/>
      </w:pPr>
    </w:lvl>
    <w:lvl w:ilvl="1" w:tplc="EA76338C">
      <w:numFmt w:val="decimal"/>
      <w:lvlText w:val=""/>
      <w:lvlJc w:val="left"/>
    </w:lvl>
    <w:lvl w:ilvl="2" w:tplc="C80E50F6">
      <w:numFmt w:val="decimal"/>
      <w:lvlText w:val=""/>
      <w:lvlJc w:val="left"/>
    </w:lvl>
    <w:lvl w:ilvl="3" w:tplc="737A941E">
      <w:numFmt w:val="decimal"/>
      <w:lvlText w:val=""/>
      <w:lvlJc w:val="left"/>
    </w:lvl>
    <w:lvl w:ilvl="4" w:tplc="ACBE6E18">
      <w:numFmt w:val="decimal"/>
      <w:lvlText w:val=""/>
      <w:lvlJc w:val="left"/>
    </w:lvl>
    <w:lvl w:ilvl="5" w:tplc="2B92C510">
      <w:numFmt w:val="decimal"/>
      <w:lvlText w:val=""/>
      <w:lvlJc w:val="left"/>
    </w:lvl>
    <w:lvl w:ilvl="6" w:tplc="8BCA3060">
      <w:numFmt w:val="decimal"/>
      <w:lvlText w:val=""/>
      <w:lvlJc w:val="left"/>
    </w:lvl>
    <w:lvl w:ilvl="7" w:tplc="4F0CEEAC">
      <w:numFmt w:val="decimal"/>
      <w:lvlText w:val=""/>
      <w:lvlJc w:val="left"/>
    </w:lvl>
    <w:lvl w:ilvl="8" w:tplc="EF263F0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EE9"/>
    <w:rsid w:val="005D3EE9"/>
    <w:rsid w:val="00C6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B6090"/>
  <w15:docId w15:val="{AAFE0842-5E4D-4A11-A80A-E95933AC4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779</Words>
  <Characters>4444</Characters>
  <Application>Microsoft Office Word</Application>
  <DocSecurity>0</DocSecurity>
  <Lines>37</Lines>
  <Paragraphs>10</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2</cp:revision>
  <dcterms:created xsi:type="dcterms:W3CDTF">2026-05-17T11:13:00Z</dcterms:created>
  <dcterms:modified xsi:type="dcterms:W3CDTF">2026-05-17T11:19:00Z</dcterms:modified>
</cp:coreProperties>
</file>