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2A1183" w14:textId="33ED00B8" w:rsidR="00F72181" w:rsidRDefault="00C64EA4" w:rsidP="00C64EA4">
      <w:pPr>
        <w:pStyle w:val="Titre1"/>
        <w:spacing w:after="0"/>
        <w:jc w:val="center"/>
        <w:rPr>
          <w:rFonts w:ascii="Aptos" w:hAnsi="Aptos"/>
          <w:sz w:val="28"/>
          <w:szCs w:val="28"/>
          <w:lang w:val="fr-FR"/>
        </w:rPr>
      </w:pPr>
      <w:r w:rsidRPr="00C64EA4">
        <w:rPr>
          <w:rFonts w:ascii="Aptos" w:hAnsi="Aptos"/>
          <w:sz w:val="28"/>
          <w:szCs w:val="28"/>
          <w:lang w:val="fr-FR"/>
        </w:rPr>
        <w:t>Gouvernance et leadership : pourquoi les meilleures technologies ne suffisent pas sans institutions solides</w:t>
      </w:r>
    </w:p>
    <w:p w14:paraId="26416FC2" w14:textId="77777777" w:rsidR="00C64EA4" w:rsidRPr="00C64EA4" w:rsidRDefault="00C64EA4" w:rsidP="00C64EA4">
      <w:pPr>
        <w:pStyle w:val="Titre1"/>
        <w:spacing w:after="0"/>
        <w:jc w:val="center"/>
        <w:rPr>
          <w:rFonts w:ascii="Aptos" w:hAnsi="Aptos"/>
          <w:sz w:val="28"/>
          <w:szCs w:val="28"/>
          <w:lang w:val="fr-FR"/>
        </w:rPr>
      </w:pPr>
    </w:p>
    <w:p w14:paraId="00EECB33" w14:textId="77777777" w:rsidR="00F72181" w:rsidRPr="00C64EA4" w:rsidRDefault="00C64EA4" w:rsidP="00C64EA4">
      <w:pPr>
        <w:jc w:val="both"/>
        <w:rPr>
          <w:rFonts w:ascii="Aptos" w:hAnsi="Aptos"/>
          <w:sz w:val="24"/>
          <w:szCs w:val="24"/>
          <w:lang w:val="fr-FR"/>
        </w:rPr>
      </w:pPr>
      <w:r w:rsidRPr="00C64EA4">
        <w:rPr>
          <w:rFonts w:ascii="Aptos" w:hAnsi="Aptos"/>
          <w:sz w:val="24"/>
          <w:szCs w:val="24"/>
          <w:lang w:val="fr-FR"/>
        </w:rPr>
        <w:t>Les cimetières des réformes sanitaires africaines sont peuplés de projets bien financés, bien conçus, appuyés par les meilleures expertises internationales — et pourtant abandonnés quelques années après la fin du financement extérieur. Des systèmes d’infor</w:t>
      </w:r>
      <w:r w:rsidRPr="00C64EA4">
        <w:rPr>
          <w:rFonts w:ascii="Aptos" w:hAnsi="Aptos"/>
          <w:sz w:val="24"/>
          <w:szCs w:val="24"/>
          <w:lang w:val="fr-FR"/>
        </w:rPr>
        <w:t>mation déployés mais jamais utilisés. Des protocoles élaborés mais jamais appliqués. Des structures créées mais jamais réellement opérationnelles. Ce phénomène, trop fréquent pour être anecdotique, pointe vers une vérité inconfortable : la technologie et l</w:t>
      </w:r>
      <w:r w:rsidRPr="00C64EA4">
        <w:rPr>
          <w:rFonts w:ascii="Aptos" w:hAnsi="Aptos"/>
          <w:sz w:val="24"/>
          <w:szCs w:val="24"/>
          <w:lang w:val="fr-FR"/>
        </w:rPr>
        <w:t>e financement ne sont pas les premiers obstacles à la transformation des systèmes de santé. La gouvernance l’est.</w:t>
      </w:r>
    </w:p>
    <w:p w14:paraId="63F619B3" w14:textId="77777777" w:rsidR="00F72181" w:rsidRPr="00C64EA4" w:rsidRDefault="00C64EA4" w:rsidP="00C64EA4">
      <w:pPr>
        <w:jc w:val="both"/>
        <w:rPr>
          <w:rFonts w:ascii="Aptos" w:hAnsi="Aptos"/>
          <w:sz w:val="24"/>
          <w:szCs w:val="24"/>
          <w:lang w:val="fr-FR"/>
        </w:rPr>
      </w:pPr>
      <w:r w:rsidRPr="00C64EA4">
        <w:rPr>
          <w:rFonts w:ascii="Aptos" w:hAnsi="Aptos"/>
          <w:sz w:val="24"/>
          <w:szCs w:val="24"/>
          <w:lang w:val="fr-FR"/>
        </w:rPr>
        <w:t>Selon plusieurs analyses de la Banque mondiale et de l’Organisation mondiale de la Santé, les défis liés à la gouvernance institutionnelle fig</w:t>
      </w:r>
      <w:r w:rsidRPr="00C64EA4">
        <w:rPr>
          <w:rFonts w:ascii="Aptos" w:hAnsi="Aptos"/>
          <w:sz w:val="24"/>
          <w:szCs w:val="24"/>
          <w:lang w:val="fr-FR"/>
        </w:rPr>
        <w:t>urent parmi les principales causes de faible durabilité des réformes sanitaires et des projets de transformation numérique dans les pays à revenu faible et intermédiaire [1]. Autrement dit, ce n’est pas l’absence d’outils qui fait échouer les réformes — c’</w:t>
      </w:r>
      <w:r w:rsidRPr="00C64EA4">
        <w:rPr>
          <w:rFonts w:ascii="Aptos" w:hAnsi="Aptos"/>
          <w:sz w:val="24"/>
          <w:szCs w:val="24"/>
          <w:lang w:val="fr-FR"/>
        </w:rPr>
        <w:t>est l’absence de cadres institutionnels capables de les porter, de les maintenir et de les faire évoluer dans la durée.</w:t>
      </w:r>
    </w:p>
    <w:p w14:paraId="7344CE61" w14:textId="77777777" w:rsidR="00F72181" w:rsidRPr="00C64EA4" w:rsidRDefault="00C64EA4" w:rsidP="00C64EA4">
      <w:pPr>
        <w:pStyle w:val="Titre2"/>
        <w:spacing w:after="0"/>
        <w:jc w:val="both"/>
        <w:rPr>
          <w:rFonts w:ascii="Aptos" w:hAnsi="Aptos"/>
          <w:color w:val="C45911" w:themeColor="accent2" w:themeShade="BF"/>
          <w:lang w:val="fr-FR"/>
        </w:rPr>
      </w:pPr>
      <w:r w:rsidRPr="00C64EA4">
        <w:rPr>
          <w:rFonts w:ascii="Aptos" w:hAnsi="Aptos"/>
          <w:color w:val="C45911" w:themeColor="accent2" w:themeShade="BF"/>
          <w:lang w:val="fr-FR"/>
        </w:rPr>
        <w:t>La gouvernance, liant invisible de toutes les réformes</w:t>
      </w:r>
    </w:p>
    <w:p w14:paraId="31AE4930" w14:textId="77777777" w:rsidR="00F72181" w:rsidRPr="00C64EA4" w:rsidRDefault="00C64EA4" w:rsidP="00C64EA4">
      <w:pPr>
        <w:jc w:val="both"/>
        <w:rPr>
          <w:rFonts w:ascii="Aptos" w:hAnsi="Aptos"/>
          <w:sz w:val="24"/>
          <w:szCs w:val="24"/>
          <w:lang w:val="fr-FR"/>
        </w:rPr>
      </w:pPr>
      <w:r w:rsidRPr="00C64EA4">
        <w:rPr>
          <w:rFonts w:ascii="Aptos" w:hAnsi="Aptos"/>
          <w:sz w:val="24"/>
          <w:szCs w:val="24"/>
          <w:lang w:val="fr-FR"/>
        </w:rPr>
        <w:t>La gouvernance sanitaire est souvent mal comprise. On la réduit parfois à des que</w:t>
      </w:r>
      <w:r w:rsidRPr="00C64EA4">
        <w:rPr>
          <w:rFonts w:ascii="Aptos" w:hAnsi="Aptos"/>
          <w:sz w:val="24"/>
          <w:szCs w:val="24"/>
          <w:lang w:val="fr-FR"/>
        </w:rPr>
        <w:t xml:space="preserve">stions de réglementation ou de structure administrative. En réalité, elle englobe quelque chose de bien plus fondamental : la capacité d’un système à se piloter lui-même avec cohérence, transparence et </w:t>
      </w:r>
      <w:proofErr w:type="spellStart"/>
      <w:r w:rsidRPr="00C64EA4">
        <w:rPr>
          <w:rFonts w:ascii="Aptos" w:hAnsi="Aptos"/>
          <w:sz w:val="24"/>
          <w:szCs w:val="24"/>
          <w:lang w:val="fr-FR"/>
        </w:rPr>
        <w:t>orientat</w:t>
      </w:r>
      <w:proofErr w:type="spellEnd"/>
      <w:r w:rsidRPr="00C64EA4">
        <w:rPr>
          <w:rFonts w:ascii="Aptos" w:hAnsi="Aptos"/>
          <w:sz w:val="24"/>
          <w:szCs w:val="24"/>
          <w:lang w:val="fr-FR"/>
        </w:rPr>
        <w:t xml:space="preserve"> ion vers les résultats. Une bonne gouvernance</w:t>
      </w:r>
      <w:r w:rsidRPr="00C64EA4">
        <w:rPr>
          <w:rFonts w:ascii="Aptos" w:hAnsi="Aptos"/>
          <w:sz w:val="24"/>
          <w:szCs w:val="24"/>
          <w:lang w:val="fr-FR"/>
        </w:rPr>
        <w:t>, c’est ce qui fait qu’une décision prise au niveau central se traduit en action au niveau périphérique. C’est ce qui assure que les ressources arrivent là où elles sont nécessaires. C’est ce qui garantit que les données produites par le système sont effec</w:t>
      </w:r>
      <w:r w:rsidRPr="00C64EA4">
        <w:rPr>
          <w:rFonts w:ascii="Aptos" w:hAnsi="Aptos"/>
          <w:sz w:val="24"/>
          <w:szCs w:val="24"/>
          <w:lang w:val="fr-FR"/>
        </w:rPr>
        <w:t>tivement utilisées pour décider.</w:t>
      </w:r>
    </w:p>
    <w:p w14:paraId="063A8A49" w14:textId="77777777" w:rsidR="00F72181" w:rsidRPr="00C64EA4" w:rsidRDefault="00C64EA4" w:rsidP="00C64EA4">
      <w:pPr>
        <w:jc w:val="both"/>
        <w:rPr>
          <w:rFonts w:ascii="Aptos" w:hAnsi="Aptos"/>
          <w:sz w:val="24"/>
          <w:szCs w:val="24"/>
          <w:lang w:val="fr-FR"/>
        </w:rPr>
      </w:pPr>
      <w:r w:rsidRPr="00C64EA4">
        <w:rPr>
          <w:rFonts w:ascii="Aptos" w:hAnsi="Aptos"/>
          <w:sz w:val="24"/>
          <w:szCs w:val="24"/>
          <w:lang w:val="fr-FR"/>
        </w:rPr>
        <w:t>Dans le domaine de la transformation numérique de la santé, la Banque mondiale insiste particulièrement sur l’importance des cadres réglementaires, de la gouvernance des données et des mécanismes de cybersécurité pour accom</w:t>
      </w:r>
      <w:r w:rsidRPr="00C64EA4">
        <w:rPr>
          <w:rFonts w:ascii="Aptos" w:hAnsi="Aptos"/>
          <w:sz w:val="24"/>
          <w:szCs w:val="24"/>
          <w:lang w:val="fr-FR"/>
        </w:rPr>
        <w:t>pagner durablement cette transition [2]. Ces dimensions ne sont pas des conditions accessoires : ce sont les préalables sans lesquels aucune plateforme numérique, aussi performante soit-elle, ne peut produire les résultats attendus. Un eLMIS déployé dans u</w:t>
      </w:r>
      <w:r w:rsidRPr="00C64EA4">
        <w:rPr>
          <w:rFonts w:ascii="Aptos" w:hAnsi="Aptos"/>
          <w:sz w:val="24"/>
          <w:szCs w:val="24"/>
          <w:lang w:val="fr-FR"/>
        </w:rPr>
        <w:t>n environnement institutionnel fragile deviendra rapidement un outil orphelin. Un tableau de bord de pilotage sans culture de l’utilisation des données restera une interface vide.</w:t>
      </w:r>
    </w:p>
    <w:p w14:paraId="0ED7CFD0" w14:textId="77777777" w:rsidR="00F72181" w:rsidRPr="00C64EA4" w:rsidRDefault="00C64EA4" w:rsidP="00C64EA4">
      <w:pPr>
        <w:pStyle w:val="Titre2"/>
        <w:spacing w:after="0"/>
        <w:jc w:val="both"/>
        <w:rPr>
          <w:rFonts w:ascii="Aptos" w:hAnsi="Aptos"/>
          <w:color w:val="C45911" w:themeColor="accent2" w:themeShade="BF"/>
          <w:lang w:val="fr-FR"/>
        </w:rPr>
      </w:pPr>
      <w:r w:rsidRPr="00C64EA4">
        <w:rPr>
          <w:rFonts w:ascii="Aptos" w:hAnsi="Aptos"/>
          <w:color w:val="C45911" w:themeColor="accent2" w:themeShade="BF"/>
          <w:lang w:val="fr-FR"/>
        </w:rPr>
        <w:t>Le leadership : moteur silencieux des transformations réussies</w:t>
      </w:r>
    </w:p>
    <w:p w14:paraId="084C285F" w14:textId="77777777" w:rsidR="00F72181" w:rsidRPr="00C64EA4" w:rsidRDefault="00C64EA4" w:rsidP="00C64EA4">
      <w:pPr>
        <w:jc w:val="both"/>
        <w:rPr>
          <w:rFonts w:ascii="Aptos" w:hAnsi="Aptos"/>
          <w:sz w:val="24"/>
          <w:szCs w:val="24"/>
          <w:lang w:val="fr-FR"/>
        </w:rPr>
      </w:pPr>
      <w:r w:rsidRPr="00C64EA4">
        <w:rPr>
          <w:rFonts w:ascii="Aptos" w:hAnsi="Aptos"/>
          <w:sz w:val="24"/>
          <w:szCs w:val="24"/>
          <w:lang w:val="fr-FR"/>
        </w:rPr>
        <w:t>Au cœur de ch</w:t>
      </w:r>
      <w:r w:rsidRPr="00C64EA4">
        <w:rPr>
          <w:rFonts w:ascii="Aptos" w:hAnsi="Aptos"/>
          <w:sz w:val="24"/>
          <w:szCs w:val="24"/>
          <w:lang w:val="fr-FR"/>
        </w:rPr>
        <w:t>aque réforme réussie, on trouve presque invariablement un même élément : un leadership institutionnel fort, engagé et capable de porter le changement dans la durée. Ce leadership ne se réduit pas à une volonté politique de façade. Il se manifeste dans la c</w:t>
      </w:r>
      <w:r w:rsidRPr="00C64EA4">
        <w:rPr>
          <w:rFonts w:ascii="Aptos" w:hAnsi="Aptos"/>
          <w:sz w:val="24"/>
          <w:szCs w:val="24"/>
          <w:lang w:val="fr-FR"/>
        </w:rPr>
        <w:t>apacité des dirigeants à aligner les parties prenantes, à arbitrer les tensions institutionnelles, à maintenir le cap stratégique face aux pressions du quotidien et à incarner personnellement la culture de performance qu’ils cherchent à instiller.</w:t>
      </w:r>
    </w:p>
    <w:p w14:paraId="6CB574C3" w14:textId="77777777" w:rsidR="00F72181" w:rsidRPr="00C64EA4" w:rsidRDefault="00C64EA4" w:rsidP="00C64EA4">
      <w:pPr>
        <w:jc w:val="both"/>
        <w:rPr>
          <w:rFonts w:ascii="Aptos" w:hAnsi="Aptos"/>
          <w:sz w:val="24"/>
          <w:szCs w:val="24"/>
          <w:lang w:val="fr-FR"/>
        </w:rPr>
      </w:pPr>
      <w:r w:rsidRPr="00C64EA4">
        <w:rPr>
          <w:rFonts w:ascii="Aptos" w:hAnsi="Aptos"/>
          <w:sz w:val="24"/>
          <w:szCs w:val="24"/>
          <w:lang w:val="fr-FR"/>
        </w:rPr>
        <w:t>Construi</w:t>
      </w:r>
      <w:r w:rsidRPr="00C64EA4">
        <w:rPr>
          <w:rFonts w:ascii="Aptos" w:hAnsi="Aptos"/>
          <w:sz w:val="24"/>
          <w:szCs w:val="24"/>
          <w:lang w:val="fr-FR"/>
        </w:rPr>
        <w:t>re des systèmes de santé résilients exige ainsi une approche globale intégrant le leadership institutionnel, le renforcement des capacités nationales, la gouvernance pharmaceutique, l’interopérabilité des systèmes, la cybersécurité, la durabilité financièr</w:t>
      </w:r>
      <w:r w:rsidRPr="00C64EA4">
        <w:rPr>
          <w:rFonts w:ascii="Aptos" w:hAnsi="Aptos"/>
          <w:sz w:val="24"/>
          <w:szCs w:val="24"/>
          <w:lang w:val="fr-FR"/>
        </w:rPr>
        <w:t>e et la conduite du changement [3]. Ces dimensions ne peuvent être traitées en silos : elles se renforcent mutuellement, ou se fragilisent mutuellement. Un système numérique sans gouvernance des données est un risque. Une gouvernance sans leadership est un</w:t>
      </w:r>
      <w:r w:rsidRPr="00C64EA4">
        <w:rPr>
          <w:rFonts w:ascii="Aptos" w:hAnsi="Aptos"/>
          <w:sz w:val="24"/>
          <w:szCs w:val="24"/>
          <w:lang w:val="fr-FR"/>
        </w:rPr>
        <w:t>e coquille vide. Un leadership sans capacités institutionnelles est une vision sans bras pour l’exécuter.</w:t>
      </w:r>
    </w:p>
    <w:p w14:paraId="084D5C26" w14:textId="77777777" w:rsidR="00F72181" w:rsidRPr="00C64EA4" w:rsidRDefault="00C64EA4" w:rsidP="00C64EA4">
      <w:pPr>
        <w:pStyle w:val="Titre2"/>
        <w:spacing w:after="0"/>
        <w:jc w:val="both"/>
        <w:rPr>
          <w:rFonts w:ascii="Aptos" w:hAnsi="Aptos"/>
          <w:color w:val="C45911" w:themeColor="accent2" w:themeShade="BF"/>
          <w:lang w:val="fr-FR"/>
        </w:rPr>
      </w:pPr>
      <w:r w:rsidRPr="00C64EA4">
        <w:rPr>
          <w:rFonts w:ascii="Aptos" w:hAnsi="Aptos"/>
          <w:color w:val="C45911" w:themeColor="accent2" w:themeShade="BF"/>
          <w:lang w:val="fr-FR"/>
        </w:rPr>
        <w:t>Vers une souveraineté institutionnelle numérique</w:t>
      </w:r>
    </w:p>
    <w:p w14:paraId="1AD4C24C" w14:textId="77777777" w:rsidR="00F72181" w:rsidRPr="00C64EA4" w:rsidRDefault="00C64EA4" w:rsidP="00C64EA4">
      <w:pPr>
        <w:jc w:val="both"/>
        <w:rPr>
          <w:rFonts w:ascii="Aptos" w:hAnsi="Aptos"/>
          <w:sz w:val="24"/>
          <w:szCs w:val="24"/>
          <w:lang w:val="fr-FR"/>
        </w:rPr>
      </w:pPr>
      <w:r w:rsidRPr="00C64EA4">
        <w:rPr>
          <w:rFonts w:ascii="Aptos" w:hAnsi="Aptos"/>
          <w:sz w:val="24"/>
          <w:szCs w:val="24"/>
          <w:lang w:val="fr-FR"/>
        </w:rPr>
        <w:lastRenderedPageBreak/>
        <w:t>Selon l’OCDE, les pays qui réussissent leur transformation numérique sont généralement ceux qui dispo</w:t>
      </w:r>
      <w:r w:rsidRPr="00C64EA4">
        <w:rPr>
          <w:rFonts w:ascii="Aptos" w:hAnsi="Aptos"/>
          <w:sz w:val="24"/>
          <w:szCs w:val="24"/>
          <w:lang w:val="fr-FR"/>
        </w:rPr>
        <w:t>sent de cadres de gouvernance solides, d’une vision stratégique claire et de mécanismes efficaces de coordination des données publiques [4]. Cette observation vaut évidemment pour le secteur de la santé — peut-être même plus que pour tout autre secteur, ta</w:t>
      </w:r>
      <w:r w:rsidRPr="00C64EA4">
        <w:rPr>
          <w:rFonts w:ascii="Aptos" w:hAnsi="Aptos"/>
          <w:sz w:val="24"/>
          <w:szCs w:val="24"/>
          <w:lang w:val="fr-FR"/>
        </w:rPr>
        <w:t>nt les enjeux de coordination, de confidentialité et de redevabilité y sont élevés.</w:t>
      </w:r>
    </w:p>
    <w:p w14:paraId="6F2EA2B1" w14:textId="77777777" w:rsidR="00F72181" w:rsidRPr="00C64EA4" w:rsidRDefault="00C64EA4" w:rsidP="00C64EA4">
      <w:pPr>
        <w:jc w:val="both"/>
        <w:rPr>
          <w:rFonts w:ascii="Aptos" w:hAnsi="Aptos"/>
          <w:sz w:val="24"/>
          <w:szCs w:val="24"/>
          <w:lang w:val="fr-FR"/>
        </w:rPr>
      </w:pPr>
      <w:r w:rsidRPr="00C64EA4">
        <w:rPr>
          <w:rFonts w:ascii="Aptos" w:hAnsi="Aptos"/>
          <w:sz w:val="24"/>
          <w:szCs w:val="24"/>
          <w:lang w:val="fr-FR"/>
        </w:rPr>
        <w:t>Les systèmes de santé du futur ne seront pas seulement techniquement performants. Ils devront être institutionnellement solides : capables de garantir la sécurité des donné</w:t>
      </w:r>
      <w:r w:rsidRPr="00C64EA4">
        <w:rPr>
          <w:rFonts w:ascii="Aptos" w:hAnsi="Aptos"/>
          <w:sz w:val="24"/>
          <w:szCs w:val="24"/>
          <w:lang w:val="fr-FR"/>
        </w:rPr>
        <w:t xml:space="preserve">es de santé de leurs populations, de coordonner des acteurs aux intérêts parfois divergents, et de résister aux chocs — épidémiques, économiques ou politiques — sans s’effondrer. Cette résilience institutionnelle est, en définitive, la forme la plus haute </w:t>
      </w:r>
      <w:r w:rsidRPr="00C64EA4">
        <w:rPr>
          <w:rFonts w:ascii="Aptos" w:hAnsi="Aptos"/>
          <w:sz w:val="24"/>
          <w:szCs w:val="24"/>
          <w:lang w:val="fr-FR"/>
        </w:rPr>
        <w:t>de souveraineté sanitaire.</w:t>
      </w:r>
    </w:p>
    <w:p w14:paraId="6B244C45" w14:textId="77777777" w:rsidR="00F72181" w:rsidRPr="00C64EA4" w:rsidRDefault="00C64EA4" w:rsidP="00C64EA4">
      <w:pPr>
        <w:jc w:val="both"/>
        <w:rPr>
          <w:rFonts w:ascii="Aptos" w:hAnsi="Aptos"/>
          <w:sz w:val="24"/>
          <w:szCs w:val="24"/>
          <w:lang w:val="fr-FR"/>
        </w:rPr>
      </w:pPr>
      <w:r w:rsidRPr="00C64EA4">
        <w:rPr>
          <w:rFonts w:ascii="Aptos" w:hAnsi="Aptos"/>
          <w:sz w:val="24"/>
          <w:szCs w:val="24"/>
          <w:lang w:val="fr-FR"/>
        </w:rPr>
        <w:t>C’est dans cette perspective que s’inscrit l’article de conclusion de cette série : dessiner les contours de ce que pourrait être la prochaine génération de systèmes de santé africains — plus intelligents, plus résilients et plei</w:t>
      </w:r>
      <w:r w:rsidRPr="00C64EA4">
        <w:rPr>
          <w:rFonts w:ascii="Aptos" w:hAnsi="Aptos"/>
          <w:sz w:val="24"/>
          <w:szCs w:val="24"/>
          <w:lang w:val="fr-FR"/>
        </w:rPr>
        <w:t>nement au service de leurs populations.</w:t>
      </w:r>
    </w:p>
    <w:p w14:paraId="500C90A0" w14:textId="77777777" w:rsidR="00C64EA4" w:rsidRDefault="00C64EA4" w:rsidP="00C64EA4">
      <w:pPr>
        <w:spacing w:before="120"/>
        <w:jc w:val="both"/>
        <w:rPr>
          <w:rFonts w:ascii="Aptos" w:hAnsi="Aptos"/>
          <w:b/>
          <w:bCs/>
          <w:color w:val="333333"/>
          <w:sz w:val="24"/>
          <w:szCs w:val="24"/>
        </w:rPr>
      </w:pPr>
    </w:p>
    <w:p w14:paraId="07A1C0A1" w14:textId="154D42E9" w:rsidR="00F72181" w:rsidRPr="00C64EA4" w:rsidRDefault="00C64EA4" w:rsidP="00C64EA4">
      <w:pPr>
        <w:spacing w:before="120"/>
        <w:jc w:val="both"/>
        <w:rPr>
          <w:rFonts w:ascii="Aptos" w:hAnsi="Aptos"/>
          <w:sz w:val="20"/>
          <w:szCs w:val="20"/>
        </w:rPr>
      </w:pPr>
      <w:proofErr w:type="spellStart"/>
      <w:r w:rsidRPr="00C64EA4">
        <w:rPr>
          <w:rFonts w:ascii="Aptos" w:hAnsi="Aptos"/>
          <w:b/>
          <w:bCs/>
          <w:color w:val="333333"/>
          <w:sz w:val="20"/>
          <w:szCs w:val="20"/>
        </w:rPr>
        <w:t>Références</w:t>
      </w:r>
      <w:proofErr w:type="spellEnd"/>
      <w:r w:rsidRPr="00C64EA4">
        <w:rPr>
          <w:rFonts w:ascii="Aptos" w:hAnsi="Aptos"/>
          <w:b/>
          <w:bCs/>
          <w:color w:val="333333"/>
          <w:sz w:val="20"/>
          <w:szCs w:val="20"/>
        </w:rPr>
        <w:t xml:space="preserve"> </w:t>
      </w:r>
      <w:proofErr w:type="spellStart"/>
      <w:r w:rsidRPr="00C64EA4">
        <w:rPr>
          <w:rFonts w:ascii="Aptos" w:hAnsi="Aptos"/>
          <w:b/>
          <w:bCs/>
          <w:color w:val="333333"/>
          <w:sz w:val="20"/>
          <w:szCs w:val="20"/>
        </w:rPr>
        <w:t>bibliographiques</w:t>
      </w:r>
      <w:proofErr w:type="spellEnd"/>
    </w:p>
    <w:p w14:paraId="63679922" w14:textId="77777777" w:rsidR="00F72181" w:rsidRPr="00C64EA4" w:rsidRDefault="00C64EA4" w:rsidP="00C64EA4">
      <w:pPr>
        <w:pStyle w:val="Paragraphedeliste"/>
        <w:numPr>
          <w:ilvl w:val="0"/>
          <w:numId w:val="2"/>
        </w:numPr>
        <w:ind w:left="0" w:firstLine="0"/>
        <w:jc w:val="both"/>
        <w:rPr>
          <w:rFonts w:ascii="Aptos" w:hAnsi="Aptos"/>
          <w:sz w:val="20"/>
          <w:szCs w:val="20"/>
        </w:rPr>
      </w:pPr>
      <w:r w:rsidRPr="00C64EA4">
        <w:rPr>
          <w:rFonts w:ascii="Aptos" w:hAnsi="Aptos"/>
          <w:color w:val="555555"/>
          <w:sz w:val="20"/>
          <w:szCs w:val="20"/>
        </w:rPr>
        <w:t xml:space="preserve">World Health Organization (WHO). Health Systems Governance for Universal Health Coverage: Action Plan. </w:t>
      </w:r>
      <w:proofErr w:type="gramStart"/>
      <w:r w:rsidRPr="00C64EA4">
        <w:rPr>
          <w:rFonts w:ascii="Aptos" w:hAnsi="Aptos"/>
          <w:color w:val="555555"/>
          <w:sz w:val="20"/>
          <w:szCs w:val="20"/>
        </w:rPr>
        <w:t>Geneva :</w:t>
      </w:r>
      <w:proofErr w:type="gramEnd"/>
      <w:r w:rsidRPr="00C64EA4">
        <w:rPr>
          <w:rFonts w:ascii="Aptos" w:hAnsi="Aptos"/>
          <w:color w:val="555555"/>
          <w:sz w:val="20"/>
          <w:szCs w:val="20"/>
        </w:rPr>
        <w:t xml:space="preserve"> WHO, 2014.</w:t>
      </w:r>
    </w:p>
    <w:p w14:paraId="186A937B" w14:textId="77777777" w:rsidR="00F72181" w:rsidRPr="00C64EA4" w:rsidRDefault="00C64EA4" w:rsidP="00C64EA4">
      <w:pPr>
        <w:pStyle w:val="Paragraphedeliste"/>
        <w:numPr>
          <w:ilvl w:val="0"/>
          <w:numId w:val="2"/>
        </w:numPr>
        <w:ind w:left="0" w:firstLine="0"/>
        <w:jc w:val="both"/>
        <w:rPr>
          <w:rFonts w:ascii="Aptos" w:hAnsi="Aptos"/>
          <w:sz w:val="20"/>
          <w:szCs w:val="20"/>
        </w:rPr>
      </w:pPr>
      <w:r w:rsidRPr="00C64EA4">
        <w:rPr>
          <w:rFonts w:ascii="Aptos" w:hAnsi="Aptos"/>
          <w:color w:val="555555"/>
          <w:sz w:val="20"/>
          <w:szCs w:val="20"/>
        </w:rPr>
        <w:t>World Bank. Digital Development Overview: Data Governance and Cy</w:t>
      </w:r>
      <w:r w:rsidRPr="00C64EA4">
        <w:rPr>
          <w:rFonts w:ascii="Aptos" w:hAnsi="Aptos"/>
          <w:color w:val="555555"/>
          <w:sz w:val="20"/>
          <w:szCs w:val="20"/>
        </w:rPr>
        <w:t xml:space="preserve">bersecurity in Public Sector Transformation. Washington </w:t>
      </w:r>
      <w:proofErr w:type="gramStart"/>
      <w:r w:rsidRPr="00C64EA4">
        <w:rPr>
          <w:rFonts w:ascii="Aptos" w:hAnsi="Aptos"/>
          <w:color w:val="555555"/>
          <w:sz w:val="20"/>
          <w:szCs w:val="20"/>
        </w:rPr>
        <w:t>DC :</w:t>
      </w:r>
      <w:proofErr w:type="gramEnd"/>
      <w:r w:rsidRPr="00C64EA4">
        <w:rPr>
          <w:rFonts w:ascii="Aptos" w:hAnsi="Aptos"/>
          <w:color w:val="555555"/>
          <w:sz w:val="20"/>
          <w:szCs w:val="20"/>
        </w:rPr>
        <w:t xml:space="preserve"> World Bank, 2022.</w:t>
      </w:r>
    </w:p>
    <w:p w14:paraId="4BA89F43" w14:textId="77777777" w:rsidR="00F72181" w:rsidRPr="00C64EA4" w:rsidRDefault="00C64EA4" w:rsidP="00C64EA4">
      <w:pPr>
        <w:pStyle w:val="Paragraphedeliste"/>
        <w:numPr>
          <w:ilvl w:val="0"/>
          <w:numId w:val="2"/>
        </w:numPr>
        <w:ind w:left="0" w:firstLine="0"/>
        <w:jc w:val="both"/>
        <w:rPr>
          <w:rFonts w:ascii="Aptos" w:hAnsi="Aptos"/>
          <w:sz w:val="20"/>
          <w:szCs w:val="20"/>
        </w:rPr>
      </w:pPr>
      <w:r w:rsidRPr="00C64EA4">
        <w:rPr>
          <w:rFonts w:ascii="Aptos" w:hAnsi="Aptos"/>
          <w:color w:val="555555"/>
          <w:sz w:val="20"/>
          <w:szCs w:val="20"/>
        </w:rPr>
        <w:t xml:space="preserve">World Health Organization (WHO). Global Strategy on Digital Health 2020–2025. </w:t>
      </w:r>
      <w:proofErr w:type="gramStart"/>
      <w:r w:rsidRPr="00C64EA4">
        <w:rPr>
          <w:rFonts w:ascii="Aptos" w:hAnsi="Aptos"/>
          <w:color w:val="555555"/>
          <w:sz w:val="20"/>
          <w:szCs w:val="20"/>
        </w:rPr>
        <w:t>Geneva :</w:t>
      </w:r>
      <w:proofErr w:type="gramEnd"/>
      <w:r w:rsidRPr="00C64EA4">
        <w:rPr>
          <w:rFonts w:ascii="Aptos" w:hAnsi="Aptos"/>
          <w:color w:val="555555"/>
          <w:sz w:val="20"/>
          <w:szCs w:val="20"/>
        </w:rPr>
        <w:t xml:space="preserve"> WHO, 2021.</w:t>
      </w:r>
    </w:p>
    <w:p w14:paraId="1EF2B56B" w14:textId="77777777" w:rsidR="00F72181" w:rsidRPr="00C64EA4" w:rsidRDefault="00C64EA4" w:rsidP="00C64EA4">
      <w:pPr>
        <w:pStyle w:val="Paragraphedeliste"/>
        <w:numPr>
          <w:ilvl w:val="0"/>
          <w:numId w:val="2"/>
        </w:numPr>
        <w:ind w:left="0" w:firstLine="0"/>
        <w:jc w:val="both"/>
        <w:rPr>
          <w:rFonts w:ascii="Aptos" w:hAnsi="Aptos"/>
          <w:sz w:val="20"/>
          <w:szCs w:val="20"/>
        </w:rPr>
      </w:pPr>
      <w:r w:rsidRPr="00C64EA4">
        <w:rPr>
          <w:rFonts w:ascii="Aptos" w:hAnsi="Aptos"/>
          <w:color w:val="555555"/>
          <w:sz w:val="20"/>
          <w:szCs w:val="20"/>
        </w:rPr>
        <w:t xml:space="preserve">OECD. Digital Government Index: 2023 Results and Policy Lessons. </w:t>
      </w:r>
      <w:proofErr w:type="gramStart"/>
      <w:r w:rsidRPr="00C64EA4">
        <w:rPr>
          <w:rFonts w:ascii="Aptos" w:hAnsi="Aptos"/>
          <w:color w:val="555555"/>
          <w:sz w:val="20"/>
          <w:szCs w:val="20"/>
        </w:rPr>
        <w:t>Paris :</w:t>
      </w:r>
      <w:proofErr w:type="gramEnd"/>
      <w:r w:rsidRPr="00C64EA4">
        <w:rPr>
          <w:rFonts w:ascii="Aptos" w:hAnsi="Aptos"/>
          <w:color w:val="555555"/>
          <w:sz w:val="20"/>
          <w:szCs w:val="20"/>
        </w:rPr>
        <w:t xml:space="preserve"> OECD P</w:t>
      </w:r>
      <w:r w:rsidRPr="00C64EA4">
        <w:rPr>
          <w:rFonts w:ascii="Aptos" w:hAnsi="Aptos"/>
          <w:color w:val="555555"/>
          <w:sz w:val="20"/>
          <w:szCs w:val="20"/>
        </w:rPr>
        <w:t>ublishing, 2023.</w:t>
      </w:r>
    </w:p>
    <w:sectPr w:rsidR="00F72181" w:rsidRPr="00C64EA4" w:rsidSect="00C64EA4">
      <w:pgSz w:w="11906" w:h="16838"/>
      <w:pgMar w:top="851" w:right="849" w:bottom="1440" w:left="709"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35B66EA"/>
    <w:multiLevelType w:val="hybridMultilevel"/>
    <w:tmpl w:val="F086E42E"/>
    <w:lvl w:ilvl="0" w:tplc="44889AAC">
      <w:start w:val="1"/>
      <w:numFmt w:val="decimal"/>
      <w:lvlText w:val="[%1]"/>
      <w:lvlJc w:val="left"/>
      <w:pPr>
        <w:ind w:left="540" w:hanging="360"/>
      </w:pPr>
    </w:lvl>
    <w:lvl w:ilvl="1" w:tplc="5EB60840">
      <w:numFmt w:val="decimal"/>
      <w:lvlText w:val=""/>
      <w:lvlJc w:val="left"/>
    </w:lvl>
    <w:lvl w:ilvl="2" w:tplc="C54A3E4C">
      <w:numFmt w:val="decimal"/>
      <w:lvlText w:val=""/>
      <w:lvlJc w:val="left"/>
    </w:lvl>
    <w:lvl w:ilvl="3" w:tplc="49327B30">
      <w:numFmt w:val="decimal"/>
      <w:lvlText w:val=""/>
      <w:lvlJc w:val="left"/>
    </w:lvl>
    <w:lvl w:ilvl="4" w:tplc="60EE0C94">
      <w:numFmt w:val="decimal"/>
      <w:lvlText w:val=""/>
      <w:lvlJc w:val="left"/>
    </w:lvl>
    <w:lvl w:ilvl="5" w:tplc="EDEC17A6">
      <w:numFmt w:val="decimal"/>
      <w:lvlText w:val=""/>
      <w:lvlJc w:val="left"/>
    </w:lvl>
    <w:lvl w:ilvl="6" w:tplc="B20CEDBE">
      <w:numFmt w:val="decimal"/>
      <w:lvlText w:val=""/>
      <w:lvlJc w:val="left"/>
    </w:lvl>
    <w:lvl w:ilvl="7" w:tplc="28B635F2">
      <w:numFmt w:val="decimal"/>
      <w:lvlText w:val=""/>
      <w:lvlJc w:val="left"/>
    </w:lvl>
    <w:lvl w:ilvl="8" w:tplc="F5A690E4">
      <w:numFmt w:val="decimal"/>
      <w:lvlText w:val=""/>
      <w:lvlJc w:val="left"/>
    </w:lvl>
  </w:abstractNum>
  <w:abstractNum w:abstractNumId="1" w15:restartNumberingAfterBreak="0">
    <w:nsid w:val="76501ECE"/>
    <w:multiLevelType w:val="hybridMultilevel"/>
    <w:tmpl w:val="FE42C110"/>
    <w:lvl w:ilvl="0" w:tplc="12B65004">
      <w:start w:val="1"/>
      <w:numFmt w:val="bullet"/>
      <w:lvlText w:val="●"/>
      <w:lvlJc w:val="left"/>
      <w:pPr>
        <w:ind w:left="720" w:hanging="360"/>
      </w:pPr>
    </w:lvl>
    <w:lvl w:ilvl="1" w:tplc="FB5CBD40">
      <w:start w:val="1"/>
      <w:numFmt w:val="bullet"/>
      <w:lvlText w:val="○"/>
      <w:lvlJc w:val="left"/>
      <w:pPr>
        <w:ind w:left="1440" w:hanging="360"/>
      </w:pPr>
    </w:lvl>
    <w:lvl w:ilvl="2" w:tplc="DCBE0C5C">
      <w:start w:val="1"/>
      <w:numFmt w:val="bullet"/>
      <w:lvlText w:val="■"/>
      <w:lvlJc w:val="left"/>
      <w:pPr>
        <w:ind w:left="2160" w:hanging="360"/>
      </w:pPr>
    </w:lvl>
    <w:lvl w:ilvl="3" w:tplc="8EFE296E">
      <w:start w:val="1"/>
      <w:numFmt w:val="bullet"/>
      <w:lvlText w:val="●"/>
      <w:lvlJc w:val="left"/>
      <w:pPr>
        <w:ind w:left="2880" w:hanging="360"/>
      </w:pPr>
    </w:lvl>
    <w:lvl w:ilvl="4" w:tplc="E57C4778">
      <w:start w:val="1"/>
      <w:numFmt w:val="bullet"/>
      <w:lvlText w:val="○"/>
      <w:lvlJc w:val="left"/>
      <w:pPr>
        <w:ind w:left="3600" w:hanging="360"/>
      </w:pPr>
    </w:lvl>
    <w:lvl w:ilvl="5" w:tplc="5330C5DE">
      <w:start w:val="1"/>
      <w:numFmt w:val="bullet"/>
      <w:lvlText w:val="■"/>
      <w:lvlJc w:val="left"/>
      <w:pPr>
        <w:ind w:left="4320" w:hanging="360"/>
      </w:pPr>
    </w:lvl>
    <w:lvl w:ilvl="6" w:tplc="7528F834">
      <w:start w:val="1"/>
      <w:numFmt w:val="bullet"/>
      <w:lvlText w:val="●"/>
      <w:lvlJc w:val="left"/>
      <w:pPr>
        <w:ind w:left="5040" w:hanging="360"/>
      </w:pPr>
    </w:lvl>
    <w:lvl w:ilvl="7" w:tplc="77D827A4">
      <w:start w:val="1"/>
      <w:numFmt w:val="bullet"/>
      <w:lvlText w:val="●"/>
      <w:lvlJc w:val="left"/>
      <w:pPr>
        <w:ind w:left="5760" w:hanging="360"/>
      </w:pPr>
    </w:lvl>
    <w:lvl w:ilvl="8" w:tplc="0D722402">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2181"/>
    <w:rsid w:val="00C64EA4"/>
    <w:rsid w:val="00F721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5B5D38"/>
  <w15:docId w15:val="{16C37093-6BB6-4823-81A1-D011E201AE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after="240"/>
      <w:outlineLvl w:val="0"/>
    </w:pPr>
    <w:rPr>
      <w:b/>
      <w:bCs/>
      <w:color w:val="1B5E8B"/>
      <w:sz w:val="30"/>
      <w:szCs w:val="30"/>
    </w:rPr>
  </w:style>
  <w:style w:type="paragraph" w:styleId="Titre2">
    <w:name w:val="heading 2"/>
    <w:uiPriority w:val="9"/>
    <w:unhideWhenUsed/>
    <w:qFormat/>
    <w:pPr>
      <w:spacing w:before="280" w:after="140"/>
      <w:outlineLvl w:val="1"/>
    </w:pPr>
    <w:rPr>
      <w:b/>
      <w:bCs/>
      <w:color w:val="1B5E8B"/>
      <w:sz w:val="24"/>
      <w:szCs w:val="24"/>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821</Words>
  <Characters>4681</Characters>
  <Application>Microsoft Office Word</Application>
  <DocSecurity>0</DocSecurity>
  <Lines>39</Lines>
  <Paragraphs>10</Paragraphs>
  <ScaleCrop>false</ScaleCrop>
  <Company/>
  <LinksUpToDate>false</LinksUpToDate>
  <CharactersWithSpaces>5492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Hope AKOHOUVI AMOU [SANTE]</cp:lastModifiedBy>
  <cp:revision>2</cp:revision>
  <dcterms:created xsi:type="dcterms:W3CDTF">2026-05-17T11:20:00Z</dcterms:created>
  <dcterms:modified xsi:type="dcterms:W3CDTF">2026-05-17T11:24:00Z</dcterms:modified>
</cp:coreProperties>
</file>