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BB6E3" w14:textId="72C09C48" w:rsidR="00734742" w:rsidRDefault="0051295F" w:rsidP="0051295F">
      <w:pPr>
        <w:pStyle w:val="Titre1"/>
        <w:spacing w:after="0"/>
        <w:jc w:val="center"/>
        <w:rPr>
          <w:rFonts w:ascii="Aptos" w:hAnsi="Aptos"/>
          <w:color w:val="002060"/>
          <w:sz w:val="28"/>
          <w:szCs w:val="28"/>
          <w:lang w:val="fr-FR"/>
        </w:rPr>
      </w:pPr>
      <w:r w:rsidRPr="0051295F">
        <w:rPr>
          <w:rFonts w:ascii="Aptos" w:hAnsi="Aptos"/>
          <w:color w:val="002060"/>
          <w:sz w:val="28"/>
          <w:szCs w:val="28"/>
          <w:lang w:val="fr-FR"/>
        </w:rPr>
        <w:t>La prochaine génération de systèmes de santé africains se construit maintenant</w:t>
      </w:r>
    </w:p>
    <w:p w14:paraId="6238637A" w14:textId="77777777" w:rsidR="0051295F" w:rsidRPr="0051295F" w:rsidRDefault="0051295F" w:rsidP="0051295F">
      <w:pPr>
        <w:pStyle w:val="Titre1"/>
        <w:spacing w:after="0"/>
        <w:jc w:val="center"/>
        <w:rPr>
          <w:rFonts w:ascii="Aptos" w:hAnsi="Aptos"/>
          <w:color w:val="002060"/>
          <w:sz w:val="28"/>
          <w:szCs w:val="28"/>
          <w:lang w:val="fr-FR"/>
        </w:rPr>
      </w:pPr>
    </w:p>
    <w:p w14:paraId="6FE40B5D" w14:textId="77777777" w:rsidR="00734742" w:rsidRPr="0051295F" w:rsidRDefault="0051295F" w:rsidP="0051295F">
      <w:pPr>
        <w:jc w:val="both"/>
        <w:rPr>
          <w:rFonts w:ascii="Aptos" w:hAnsi="Aptos"/>
          <w:sz w:val="24"/>
          <w:szCs w:val="24"/>
          <w:lang w:val="fr-FR"/>
        </w:rPr>
      </w:pPr>
      <w:r w:rsidRPr="0051295F">
        <w:rPr>
          <w:rFonts w:ascii="Aptos" w:hAnsi="Aptos"/>
          <w:sz w:val="24"/>
          <w:szCs w:val="24"/>
          <w:lang w:val="fr-FR"/>
        </w:rPr>
        <w:t>Au fil de cette série d’articles, un même fil conducteur est apparu avec une force croissante : la transformation des systèmes de santé africains n’est pas une question de moyens à trouver, mais de vision à construire et de capacités à mobiliser. Les ingré</w:t>
      </w:r>
      <w:r w:rsidRPr="0051295F">
        <w:rPr>
          <w:rFonts w:ascii="Aptos" w:hAnsi="Aptos"/>
          <w:sz w:val="24"/>
          <w:szCs w:val="24"/>
          <w:lang w:val="fr-FR"/>
        </w:rPr>
        <w:t>dients sont identifiés — données, logistique, numérique, traçabilité, gouvernance, leadership. Ce qui manque souvent, c’est la capacité à les assembler en une stratégie cohérente, portée par des institutions solides et ancrée dans les réalités locales.</w:t>
      </w:r>
    </w:p>
    <w:p w14:paraId="1A94D404" w14:textId="77777777" w:rsidR="00734742" w:rsidRPr="0051295F" w:rsidRDefault="0051295F" w:rsidP="0051295F">
      <w:pPr>
        <w:jc w:val="both"/>
        <w:rPr>
          <w:rFonts w:ascii="Aptos" w:hAnsi="Aptos"/>
          <w:sz w:val="24"/>
          <w:szCs w:val="24"/>
          <w:lang w:val="fr-FR"/>
        </w:rPr>
      </w:pPr>
      <w:r w:rsidRPr="0051295F">
        <w:rPr>
          <w:rFonts w:ascii="Aptos" w:hAnsi="Aptos"/>
          <w:sz w:val="24"/>
          <w:szCs w:val="24"/>
          <w:lang w:val="fr-FR"/>
        </w:rPr>
        <w:t xml:space="preserve">Ce </w:t>
      </w:r>
      <w:r w:rsidRPr="0051295F">
        <w:rPr>
          <w:rFonts w:ascii="Aptos" w:hAnsi="Aptos"/>
          <w:sz w:val="24"/>
          <w:szCs w:val="24"/>
          <w:lang w:val="fr-FR"/>
        </w:rPr>
        <w:t>dernier article n’est pas une conclusion au sens conventionnel du terme. C’est une invitation à regarder vers l’avant — à imaginer concrètement ce que pourrait être la prochaine génération de systèmes de santé africains, et ce qu’il faut commencer à constr</w:t>
      </w:r>
      <w:r w:rsidRPr="0051295F">
        <w:rPr>
          <w:rFonts w:ascii="Aptos" w:hAnsi="Aptos"/>
          <w:sz w:val="24"/>
          <w:szCs w:val="24"/>
          <w:lang w:val="fr-FR"/>
        </w:rPr>
        <w:t>uire dès aujourd’hui pour y parvenir.</w:t>
      </w:r>
    </w:p>
    <w:p w14:paraId="5A966037" w14:textId="77777777" w:rsidR="00734742" w:rsidRPr="0051295F" w:rsidRDefault="0051295F" w:rsidP="0051295F">
      <w:pPr>
        <w:pStyle w:val="Titre2"/>
        <w:spacing w:after="0"/>
        <w:jc w:val="both"/>
        <w:rPr>
          <w:rFonts w:ascii="Aptos" w:hAnsi="Aptos"/>
          <w:color w:val="ED7D31" w:themeColor="accent2"/>
          <w:lang w:val="fr-FR"/>
        </w:rPr>
      </w:pPr>
      <w:r w:rsidRPr="0051295F">
        <w:rPr>
          <w:rFonts w:ascii="Aptos" w:hAnsi="Aptos"/>
          <w:color w:val="ED7D31" w:themeColor="accent2"/>
          <w:lang w:val="fr-FR"/>
        </w:rPr>
        <w:t>Des systèmes pilotés par la donnée et renforcés par la crise</w:t>
      </w:r>
    </w:p>
    <w:p w14:paraId="55F5F1C0" w14:textId="77777777" w:rsidR="00734742" w:rsidRPr="0051295F" w:rsidRDefault="0051295F" w:rsidP="0051295F">
      <w:pPr>
        <w:jc w:val="both"/>
        <w:rPr>
          <w:rFonts w:ascii="Aptos" w:hAnsi="Aptos"/>
          <w:sz w:val="24"/>
          <w:szCs w:val="24"/>
          <w:lang w:val="fr-FR"/>
        </w:rPr>
      </w:pPr>
      <w:r w:rsidRPr="0051295F">
        <w:rPr>
          <w:rFonts w:ascii="Aptos" w:hAnsi="Aptos"/>
          <w:sz w:val="24"/>
          <w:szCs w:val="24"/>
          <w:lang w:val="fr-FR"/>
        </w:rPr>
        <w:t>La pandémie de COVID-19 a été un révélateur brutal. Elle a mis à nu les vulnérabilités des systèmes qui n’avaient pas investi dans leur résilience — et mis e</w:t>
      </w:r>
      <w:r w:rsidRPr="0051295F">
        <w:rPr>
          <w:rFonts w:ascii="Aptos" w:hAnsi="Aptos"/>
          <w:sz w:val="24"/>
          <w:szCs w:val="24"/>
          <w:lang w:val="fr-FR"/>
        </w:rPr>
        <w:t>n lumière la supériorité de ceux qui disposaient de systèmes d’information robustes, de chaînes d’approvisionnement agiles et de mécanismes de coordination opérationnels. Selon l’</w:t>
      </w:r>
      <w:proofErr w:type="spellStart"/>
      <w:r w:rsidRPr="0051295F">
        <w:rPr>
          <w:rFonts w:ascii="Aptos" w:hAnsi="Aptos"/>
          <w:sz w:val="24"/>
          <w:szCs w:val="24"/>
          <w:lang w:val="fr-FR"/>
        </w:rPr>
        <w:t>Africa</w:t>
      </w:r>
      <w:proofErr w:type="spellEnd"/>
      <w:r w:rsidRPr="0051295F">
        <w:rPr>
          <w:rFonts w:ascii="Aptos" w:hAnsi="Aptos"/>
          <w:sz w:val="24"/>
          <w:szCs w:val="24"/>
          <w:lang w:val="fr-FR"/>
        </w:rPr>
        <w:t xml:space="preserve"> CDC, les pays dotés de cadres de sécurité sanitaire renforcés ont démo</w:t>
      </w:r>
      <w:r w:rsidRPr="0051295F">
        <w:rPr>
          <w:rFonts w:ascii="Aptos" w:hAnsi="Aptos"/>
          <w:sz w:val="24"/>
          <w:szCs w:val="24"/>
          <w:lang w:val="fr-FR"/>
        </w:rPr>
        <w:t>ntré une capacité de réponse significativement supérieure face aux urgences [2].</w:t>
      </w:r>
    </w:p>
    <w:p w14:paraId="57482F6F" w14:textId="77777777" w:rsidR="00734742" w:rsidRPr="0051295F" w:rsidRDefault="0051295F" w:rsidP="0051295F">
      <w:pPr>
        <w:jc w:val="both"/>
        <w:rPr>
          <w:rFonts w:ascii="Aptos" w:hAnsi="Aptos"/>
          <w:sz w:val="24"/>
          <w:szCs w:val="24"/>
          <w:lang w:val="fr-FR"/>
        </w:rPr>
      </w:pPr>
      <w:r w:rsidRPr="0051295F">
        <w:rPr>
          <w:rFonts w:ascii="Aptos" w:hAnsi="Aptos"/>
          <w:sz w:val="24"/>
          <w:szCs w:val="24"/>
          <w:lang w:val="fr-FR"/>
        </w:rPr>
        <w:t>Les crises ne sont pas des accidents de parcours dans l’histoire des systèmes de santé — elles en font partie. La question n’est pas de savoir si une nouvelle crise surviendra</w:t>
      </w:r>
      <w:r w:rsidRPr="0051295F">
        <w:rPr>
          <w:rFonts w:ascii="Aptos" w:hAnsi="Aptos"/>
          <w:sz w:val="24"/>
          <w:szCs w:val="24"/>
          <w:lang w:val="fr-FR"/>
        </w:rPr>
        <w:t>, mais de savoir si les systèmes seront prêts à y faire face. Cette préparation passe nécessairement par des systèmes capables d’anticiper les risques, de piloter les ressources en temps réel et de coordonner rapidement les réponses à toutes les échelles —</w:t>
      </w:r>
      <w:r w:rsidRPr="0051295F">
        <w:rPr>
          <w:rFonts w:ascii="Aptos" w:hAnsi="Aptos"/>
          <w:sz w:val="24"/>
          <w:szCs w:val="24"/>
          <w:lang w:val="fr-FR"/>
        </w:rPr>
        <w:t xml:space="preserve"> nationale, régionale et locale. Selon l’OMS et la Banque mondiale, les systèmes de santé qui exploitent efficacement les données, les outils numériques et les mécanismes de coordination institutionnelle seront les mieux préparés pour répondre aux crises f</w:t>
      </w:r>
      <w:r w:rsidRPr="0051295F">
        <w:rPr>
          <w:rFonts w:ascii="Aptos" w:hAnsi="Aptos"/>
          <w:sz w:val="24"/>
          <w:szCs w:val="24"/>
          <w:lang w:val="fr-FR"/>
        </w:rPr>
        <w:t>utures et améliorer durablement les résultats de santé [1].</w:t>
      </w:r>
    </w:p>
    <w:p w14:paraId="0750A99E" w14:textId="77777777" w:rsidR="00734742" w:rsidRPr="0051295F" w:rsidRDefault="0051295F" w:rsidP="0051295F">
      <w:pPr>
        <w:pStyle w:val="Titre2"/>
        <w:spacing w:after="0"/>
        <w:jc w:val="both"/>
        <w:rPr>
          <w:rFonts w:ascii="Aptos" w:hAnsi="Aptos"/>
          <w:color w:val="ED7D31" w:themeColor="accent2"/>
          <w:lang w:val="fr-FR"/>
        </w:rPr>
      </w:pPr>
      <w:r w:rsidRPr="0051295F">
        <w:rPr>
          <w:rFonts w:ascii="Aptos" w:hAnsi="Aptos"/>
          <w:color w:val="ED7D31" w:themeColor="accent2"/>
          <w:lang w:val="fr-FR"/>
        </w:rPr>
        <w:t>La santé comme investissement stratégique, pas comme dépense sociale</w:t>
      </w:r>
    </w:p>
    <w:p w14:paraId="3C87C247" w14:textId="77777777" w:rsidR="00734742" w:rsidRPr="0051295F" w:rsidRDefault="0051295F" w:rsidP="0051295F">
      <w:pPr>
        <w:jc w:val="both"/>
        <w:rPr>
          <w:rFonts w:ascii="Aptos" w:hAnsi="Aptos"/>
          <w:sz w:val="24"/>
          <w:szCs w:val="24"/>
          <w:lang w:val="fr-FR"/>
        </w:rPr>
      </w:pPr>
      <w:r w:rsidRPr="0051295F">
        <w:rPr>
          <w:rFonts w:ascii="Aptos" w:hAnsi="Aptos"/>
          <w:sz w:val="24"/>
          <w:szCs w:val="24"/>
          <w:lang w:val="fr-FR"/>
        </w:rPr>
        <w:t>L’une des mutations intellectuelles les plus importantes de la dernière décennie dans le domaine du développement est la recons</w:t>
      </w:r>
      <w:r w:rsidRPr="0051295F">
        <w:rPr>
          <w:rFonts w:ascii="Aptos" w:hAnsi="Aptos"/>
          <w:sz w:val="24"/>
          <w:szCs w:val="24"/>
          <w:lang w:val="fr-FR"/>
        </w:rPr>
        <w:t>idération du statut des investissements en santé. Longtemps traités comme des dépenses sociales — nécessaires mais coûteuses — ils sont aujourd’hui reconnus comme des leviers stratégiques de développement économique, de stabilité institutionnelle et de séc</w:t>
      </w:r>
      <w:r w:rsidRPr="0051295F">
        <w:rPr>
          <w:rFonts w:ascii="Aptos" w:hAnsi="Aptos"/>
          <w:sz w:val="24"/>
          <w:szCs w:val="24"/>
          <w:lang w:val="fr-FR"/>
        </w:rPr>
        <w:t>urité nationale. La Banque mondiale est claire sur ce point : les pays qui investissent dans des systèmes de santé résilients et dans la transformation numérique améliorent non seulement leurs indicateurs sanitaires, mais renforcent également leur producti</w:t>
      </w:r>
      <w:r w:rsidRPr="0051295F">
        <w:rPr>
          <w:rFonts w:ascii="Aptos" w:hAnsi="Aptos"/>
          <w:sz w:val="24"/>
          <w:szCs w:val="24"/>
          <w:lang w:val="fr-FR"/>
        </w:rPr>
        <w:t>vité économique et leur capacité de résilience face aux chocs futurs [3].</w:t>
      </w:r>
    </w:p>
    <w:p w14:paraId="3F34FA41" w14:textId="77777777" w:rsidR="00734742" w:rsidRPr="0051295F" w:rsidRDefault="0051295F" w:rsidP="0051295F">
      <w:pPr>
        <w:jc w:val="both"/>
        <w:rPr>
          <w:rFonts w:ascii="Aptos" w:hAnsi="Aptos"/>
          <w:sz w:val="24"/>
          <w:szCs w:val="24"/>
          <w:lang w:val="fr-FR"/>
        </w:rPr>
      </w:pPr>
      <w:r w:rsidRPr="0051295F">
        <w:rPr>
          <w:rFonts w:ascii="Aptos" w:hAnsi="Aptos"/>
          <w:sz w:val="24"/>
          <w:szCs w:val="24"/>
          <w:lang w:val="fr-FR"/>
        </w:rPr>
        <w:t>Cette conviction devrait changer profondément la manière dont les gouvernements africains arbitrent leurs priorités budgétaires. Investir dans un système eLMIS performant, dans une p</w:t>
      </w:r>
      <w:r w:rsidRPr="0051295F">
        <w:rPr>
          <w:rFonts w:ascii="Aptos" w:hAnsi="Aptos"/>
          <w:sz w:val="24"/>
          <w:szCs w:val="24"/>
          <w:lang w:val="fr-FR"/>
        </w:rPr>
        <w:t>lateforme nationale de traçabilité pharmaceutique, dans le renforcement des capacités des cadres de santé ou dans l’interopérabilité des systèmes d’information — ce ne sont pas des dépenses de confort. Ce sont des investissements à fort retour sur investis</w:t>
      </w:r>
      <w:r w:rsidRPr="0051295F">
        <w:rPr>
          <w:rFonts w:ascii="Aptos" w:hAnsi="Aptos"/>
          <w:sz w:val="24"/>
          <w:szCs w:val="24"/>
          <w:lang w:val="fr-FR"/>
        </w:rPr>
        <w:t>sement sanitaire, économique et social.</w:t>
      </w:r>
    </w:p>
    <w:p w14:paraId="6E716EFF" w14:textId="77777777" w:rsidR="00734742" w:rsidRPr="0051295F" w:rsidRDefault="0051295F" w:rsidP="0051295F">
      <w:pPr>
        <w:pStyle w:val="Titre2"/>
        <w:spacing w:after="0"/>
        <w:jc w:val="both"/>
        <w:rPr>
          <w:rFonts w:ascii="Aptos" w:hAnsi="Aptos"/>
          <w:color w:val="ED7D31" w:themeColor="accent2"/>
          <w:lang w:val="fr-FR"/>
        </w:rPr>
      </w:pPr>
      <w:r w:rsidRPr="0051295F">
        <w:rPr>
          <w:rFonts w:ascii="Aptos" w:hAnsi="Aptos"/>
          <w:color w:val="ED7D31" w:themeColor="accent2"/>
          <w:lang w:val="fr-FR"/>
        </w:rPr>
        <w:t>Ce que SaniNova croit et ce que nous construisons ensemble</w:t>
      </w:r>
    </w:p>
    <w:p w14:paraId="10BC0F3F" w14:textId="77777777" w:rsidR="00734742" w:rsidRPr="0051295F" w:rsidRDefault="0051295F" w:rsidP="0051295F">
      <w:pPr>
        <w:jc w:val="both"/>
        <w:rPr>
          <w:rFonts w:ascii="Aptos" w:hAnsi="Aptos"/>
          <w:sz w:val="24"/>
          <w:szCs w:val="24"/>
          <w:lang w:val="fr-FR"/>
        </w:rPr>
      </w:pPr>
      <w:r w:rsidRPr="0051295F">
        <w:rPr>
          <w:rFonts w:ascii="Aptos" w:hAnsi="Aptos"/>
          <w:sz w:val="24"/>
          <w:szCs w:val="24"/>
          <w:lang w:val="fr-FR"/>
        </w:rPr>
        <w:t>Chez SaniNova, nous portons une conviction profonde : les systèmes de santé africains ont le potentiel de devenir des modèles de performance, de résilience e</w:t>
      </w:r>
      <w:r w:rsidRPr="0051295F">
        <w:rPr>
          <w:rFonts w:ascii="Aptos" w:hAnsi="Aptos"/>
          <w:sz w:val="24"/>
          <w:szCs w:val="24"/>
          <w:lang w:val="fr-FR"/>
        </w:rPr>
        <w:t xml:space="preserve">t d’innovation — non pas malgré leurs contraintes, mais en les transformant en leviers de solutions adaptées. Le continent a déjà démontré sa capacité à innover, à s’adapter et à trouver des réponses originales à des défis complexes. Ce qui est nécessaire </w:t>
      </w:r>
      <w:r w:rsidRPr="0051295F">
        <w:rPr>
          <w:rFonts w:ascii="Aptos" w:hAnsi="Aptos"/>
          <w:sz w:val="24"/>
          <w:szCs w:val="24"/>
          <w:lang w:val="fr-FR"/>
        </w:rPr>
        <w:t>maintenant, c’est d’accélérer et de structurer cette dynamique.</w:t>
      </w:r>
    </w:p>
    <w:p w14:paraId="19A198DD" w14:textId="77777777" w:rsidR="00734742" w:rsidRPr="0051295F" w:rsidRDefault="0051295F" w:rsidP="0051295F">
      <w:pPr>
        <w:jc w:val="both"/>
        <w:rPr>
          <w:rFonts w:ascii="Aptos" w:hAnsi="Aptos"/>
          <w:sz w:val="24"/>
          <w:szCs w:val="24"/>
          <w:lang w:val="fr-FR"/>
        </w:rPr>
      </w:pPr>
      <w:r w:rsidRPr="0051295F">
        <w:rPr>
          <w:rFonts w:ascii="Aptos" w:hAnsi="Aptos"/>
          <w:sz w:val="24"/>
          <w:szCs w:val="24"/>
          <w:lang w:val="fr-FR"/>
        </w:rPr>
        <w:lastRenderedPageBreak/>
        <w:t>Notre ambition est d’accompagner les gouvernements, les institutions sanitaires, les bailleurs et les partenaires techniques dans la conception et la mise en œuvre de solutions à fort impact :</w:t>
      </w:r>
      <w:r w:rsidRPr="0051295F">
        <w:rPr>
          <w:rFonts w:ascii="Aptos" w:hAnsi="Aptos"/>
          <w:sz w:val="24"/>
          <w:szCs w:val="24"/>
          <w:lang w:val="fr-FR"/>
        </w:rPr>
        <w:t xml:space="preserve"> des stratégies logistiques ancrées dans les réalités du terrain, des architectures numériques adaptées aux capacités institutionnelles, des programmes de renforcement des compétences qui durent au-delà des projets, et des mécanismes de gouvernance qui sur</w:t>
      </w:r>
      <w:r w:rsidRPr="0051295F">
        <w:rPr>
          <w:rFonts w:ascii="Aptos" w:hAnsi="Aptos"/>
          <w:sz w:val="24"/>
          <w:szCs w:val="24"/>
          <w:lang w:val="fr-FR"/>
        </w:rPr>
        <w:t>vivent aux changements de leadership. En d’autres termes, des transformations qui tiennent.</w:t>
      </w:r>
    </w:p>
    <w:p w14:paraId="677219DE" w14:textId="77777777" w:rsidR="00734742" w:rsidRPr="0051295F" w:rsidRDefault="0051295F" w:rsidP="0051295F">
      <w:pPr>
        <w:jc w:val="both"/>
        <w:rPr>
          <w:rFonts w:ascii="Aptos" w:hAnsi="Aptos"/>
          <w:sz w:val="24"/>
          <w:szCs w:val="24"/>
          <w:lang w:val="fr-FR"/>
        </w:rPr>
      </w:pPr>
      <w:r w:rsidRPr="0051295F">
        <w:rPr>
          <w:rFonts w:ascii="Aptos" w:hAnsi="Aptos"/>
          <w:sz w:val="24"/>
          <w:szCs w:val="24"/>
          <w:lang w:val="fr-FR"/>
        </w:rPr>
        <w:t>Transformer durablement les systèmes de santé africains n’est plus une ambition lointaine. C’est une nécessité stratégique, une responsabilité collective — et une o</w:t>
      </w:r>
      <w:r w:rsidRPr="0051295F">
        <w:rPr>
          <w:rFonts w:ascii="Aptos" w:hAnsi="Aptos"/>
          <w:sz w:val="24"/>
          <w:szCs w:val="24"/>
          <w:lang w:val="fr-FR"/>
        </w:rPr>
        <w:t>pportunité historique que cette génération de décideurs, de professionnels de santé et de partenaires a la chance et le devoir de saisir.</w:t>
      </w:r>
    </w:p>
    <w:p w14:paraId="11467337" w14:textId="77777777" w:rsidR="0051295F" w:rsidRDefault="0051295F" w:rsidP="0051295F">
      <w:pPr>
        <w:spacing w:before="120"/>
        <w:jc w:val="both"/>
        <w:rPr>
          <w:rFonts w:ascii="Aptos" w:hAnsi="Aptos"/>
          <w:b/>
          <w:bCs/>
          <w:color w:val="333333"/>
          <w:sz w:val="24"/>
          <w:szCs w:val="24"/>
        </w:rPr>
      </w:pPr>
    </w:p>
    <w:p w14:paraId="74331C78" w14:textId="530C131F" w:rsidR="00734742" w:rsidRPr="0051295F" w:rsidRDefault="0051295F" w:rsidP="0051295F">
      <w:pPr>
        <w:spacing w:before="120"/>
        <w:jc w:val="both"/>
        <w:rPr>
          <w:rFonts w:ascii="Aptos" w:hAnsi="Aptos"/>
          <w:sz w:val="20"/>
          <w:szCs w:val="20"/>
        </w:rPr>
      </w:pPr>
      <w:proofErr w:type="spellStart"/>
      <w:r w:rsidRPr="0051295F">
        <w:rPr>
          <w:rFonts w:ascii="Aptos" w:hAnsi="Aptos"/>
          <w:b/>
          <w:bCs/>
          <w:color w:val="333333"/>
          <w:sz w:val="20"/>
          <w:szCs w:val="20"/>
        </w:rPr>
        <w:t>Références</w:t>
      </w:r>
      <w:proofErr w:type="spellEnd"/>
      <w:r w:rsidRPr="0051295F">
        <w:rPr>
          <w:rFonts w:ascii="Aptos" w:hAnsi="Aptos"/>
          <w:b/>
          <w:bCs/>
          <w:color w:val="333333"/>
          <w:sz w:val="20"/>
          <w:szCs w:val="20"/>
        </w:rPr>
        <w:t xml:space="preserve"> </w:t>
      </w:r>
      <w:proofErr w:type="spellStart"/>
      <w:r w:rsidRPr="0051295F">
        <w:rPr>
          <w:rFonts w:ascii="Aptos" w:hAnsi="Aptos"/>
          <w:b/>
          <w:bCs/>
          <w:color w:val="333333"/>
          <w:sz w:val="20"/>
          <w:szCs w:val="20"/>
        </w:rPr>
        <w:t>bibliographiques</w:t>
      </w:r>
      <w:proofErr w:type="spellEnd"/>
    </w:p>
    <w:p w14:paraId="67D82000" w14:textId="77777777" w:rsidR="00734742" w:rsidRPr="0051295F" w:rsidRDefault="0051295F" w:rsidP="0051295F">
      <w:pPr>
        <w:pStyle w:val="Paragraphedeliste"/>
        <w:numPr>
          <w:ilvl w:val="0"/>
          <w:numId w:val="2"/>
        </w:numPr>
        <w:jc w:val="both"/>
        <w:rPr>
          <w:rFonts w:ascii="Aptos" w:hAnsi="Aptos"/>
          <w:sz w:val="20"/>
          <w:szCs w:val="20"/>
        </w:rPr>
      </w:pPr>
      <w:r w:rsidRPr="0051295F">
        <w:rPr>
          <w:rFonts w:ascii="Aptos" w:hAnsi="Aptos"/>
          <w:color w:val="555555"/>
          <w:sz w:val="20"/>
          <w:szCs w:val="20"/>
        </w:rPr>
        <w:t xml:space="preserve">World Health Organization (WHO). Global Strategy on Digital Health 2020–2025. </w:t>
      </w:r>
      <w:proofErr w:type="gramStart"/>
      <w:r w:rsidRPr="0051295F">
        <w:rPr>
          <w:rFonts w:ascii="Aptos" w:hAnsi="Aptos"/>
          <w:color w:val="555555"/>
          <w:sz w:val="20"/>
          <w:szCs w:val="20"/>
        </w:rPr>
        <w:t>Geneva :</w:t>
      </w:r>
      <w:proofErr w:type="gramEnd"/>
      <w:r w:rsidRPr="0051295F">
        <w:rPr>
          <w:rFonts w:ascii="Aptos" w:hAnsi="Aptos"/>
          <w:color w:val="555555"/>
          <w:sz w:val="20"/>
          <w:szCs w:val="20"/>
        </w:rPr>
        <w:t xml:space="preserve"> WH</w:t>
      </w:r>
      <w:r w:rsidRPr="0051295F">
        <w:rPr>
          <w:rFonts w:ascii="Aptos" w:hAnsi="Aptos"/>
          <w:color w:val="555555"/>
          <w:sz w:val="20"/>
          <w:szCs w:val="20"/>
        </w:rPr>
        <w:t>O, 2021.</w:t>
      </w:r>
    </w:p>
    <w:p w14:paraId="69509C4E" w14:textId="77777777" w:rsidR="00734742" w:rsidRPr="0051295F" w:rsidRDefault="0051295F" w:rsidP="0051295F">
      <w:pPr>
        <w:pStyle w:val="Paragraphedeliste"/>
        <w:numPr>
          <w:ilvl w:val="0"/>
          <w:numId w:val="2"/>
        </w:numPr>
        <w:jc w:val="both"/>
        <w:rPr>
          <w:rFonts w:ascii="Aptos" w:hAnsi="Aptos"/>
          <w:sz w:val="20"/>
          <w:szCs w:val="20"/>
        </w:rPr>
      </w:pPr>
      <w:r w:rsidRPr="0051295F">
        <w:rPr>
          <w:rFonts w:ascii="Aptos" w:hAnsi="Aptos"/>
          <w:color w:val="555555"/>
          <w:sz w:val="20"/>
          <w:szCs w:val="20"/>
        </w:rPr>
        <w:t xml:space="preserve">Africa </w:t>
      </w:r>
      <w:proofErr w:type="spellStart"/>
      <w:r w:rsidRPr="0051295F">
        <w:rPr>
          <w:rFonts w:ascii="Aptos" w:hAnsi="Aptos"/>
          <w:color w:val="555555"/>
          <w:sz w:val="20"/>
          <w:szCs w:val="20"/>
        </w:rPr>
        <w:t>Centres</w:t>
      </w:r>
      <w:proofErr w:type="spellEnd"/>
      <w:r w:rsidRPr="0051295F">
        <w:rPr>
          <w:rFonts w:ascii="Aptos" w:hAnsi="Aptos"/>
          <w:color w:val="555555"/>
          <w:sz w:val="20"/>
          <w:szCs w:val="20"/>
        </w:rPr>
        <w:t xml:space="preserve"> for Disease Control and Prevention (Africa CDC). Africa’s Health Security Framework. Addis </w:t>
      </w:r>
      <w:proofErr w:type="gramStart"/>
      <w:r w:rsidRPr="0051295F">
        <w:rPr>
          <w:rFonts w:ascii="Aptos" w:hAnsi="Aptos"/>
          <w:color w:val="555555"/>
          <w:sz w:val="20"/>
          <w:szCs w:val="20"/>
        </w:rPr>
        <w:t>Ababa :</w:t>
      </w:r>
      <w:proofErr w:type="gramEnd"/>
      <w:r w:rsidRPr="0051295F">
        <w:rPr>
          <w:rFonts w:ascii="Aptos" w:hAnsi="Aptos"/>
          <w:color w:val="555555"/>
          <w:sz w:val="20"/>
          <w:szCs w:val="20"/>
        </w:rPr>
        <w:t xml:space="preserve"> Africa CDC, 2024.</w:t>
      </w:r>
    </w:p>
    <w:p w14:paraId="54894349" w14:textId="77777777" w:rsidR="00734742" w:rsidRPr="0051295F" w:rsidRDefault="0051295F" w:rsidP="0051295F">
      <w:pPr>
        <w:pStyle w:val="Paragraphedeliste"/>
        <w:numPr>
          <w:ilvl w:val="0"/>
          <w:numId w:val="2"/>
        </w:numPr>
        <w:jc w:val="both"/>
        <w:rPr>
          <w:rFonts w:ascii="Aptos" w:hAnsi="Aptos"/>
          <w:sz w:val="20"/>
          <w:szCs w:val="20"/>
        </w:rPr>
      </w:pPr>
      <w:r w:rsidRPr="0051295F">
        <w:rPr>
          <w:rFonts w:ascii="Aptos" w:hAnsi="Aptos"/>
          <w:color w:val="555555"/>
          <w:sz w:val="20"/>
          <w:szCs w:val="20"/>
        </w:rPr>
        <w:t xml:space="preserve">World Bank. Investing in Health: The Foundation for Development. Washington </w:t>
      </w:r>
      <w:proofErr w:type="gramStart"/>
      <w:r w:rsidRPr="0051295F">
        <w:rPr>
          <w:rFonts w:ascii="Aptos" w:hAnsi="Aptos"/>
          <w:color w:val="555555"/>
          <w:sz w:val="20"/>
          <w:szCs w:val="20"/>
        </w:rPr>
        <w:t>DC :</w:t>
      </w:r>
      <w:proofErr w:type="gramEnd"/>
      <w:r w:rsidRPr="0051295F">
        <w:rPr>
          <w:rFonts w:ascii="Aptos" w:hAnsi="Aptos"/>
          <w:color w:val="555555"/>
          <w:sz w:val="20"/>
          <w:szCs w:val="20"/>
        </w:rPr>
        <w:t xml:space="preserve"> World Bank, 2023.</w:t>
      </w:r>
    </w:p>
    <w:sectPr w:rsidR="00734742" w:rsidRPr="0051295F" w:rsidSect="0051295F">
      <w:pgSz w:w="11906" w:h="16838"/>
      <w:pgMar w:top="851" w:right="707" w:bottom="1440" w:left="85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A26FC"/>
    <w:multiLevelType w:val="hybridMultilevel"/>
    <w:tmpl w:val="84D08EF2"/>
    <w:lvl w:ilvl="0" w:tplc="3D76450A">
      <w:start w:val="1"/>
      <w:numFmt w:val="decimal"/>
      <w:lvlText w:val="[%1]"/>
      <w:lvlJc w:val="left"/>
      <w:pPr>
        <w:ind w:left="540" w:hanging="360"/>
      </w:pPr>
    </w:lvl>
    <w:lvl w:ilvl="1" w:tplc="EDCC3326">
      <w:numFmt w:val="decimal"/>
      <w:lvlText w:val=""/>
      <w:lvlJc w:val="left"/>
    </w:lvl>
    <w:lvl w:ilvl="2" w:tplc="ABBCFE86">
      <w:numFmt w:val="decimal"/>
      <w:lvlText w:val=""/>
      <w:lvlJc w:val="left"/>
    </w:lvl>
    <w:lvl w:ilvl="3" w:tplc="13167D78">
      <w:numFmt w:val="decimal"/>
      <w:lvlText w:val=""/>
      <w:lvlJc w:val="left"/>
    </w:lvl>
    <w:lvl w:ilvl="4" w:tplc="C3448EB0">
      <w:numFmt w:val="decimal"/>
      <w:lvlText w:val=""/>
      <w:lvlJc w:val="left"/>
    </w:lvl>
    <w:lvl w:ilvl="5" w:tplc="7E7A9358">
      <w:numFmt w:val="decimal"/>
      <w:lvlText w:val=""/>
      <w:lvlJc w:val="left"/>
    </w:lvl>
    <w:lvl w:ilvl="6" w:tplc="2DB8566A">
      <w:numFmt w:val="decimal"/>
      <w:lvlText w:val=""/>
      <w:lvlJc w:val="left"/>
    </w:lvl>
    <w:lvl w:ilvl="7" w:tplc="A4D047AC">
      <w:numFmt w:val="decimal"/>
      <w:lvlText w:val=""/>
      <w:lvlJc w:val="left"/>
    </w:lvl>
    <w:lvl w:ilvl="8" w:tplc="221AA008">
      <w:numFmt w:val="decimal"/>
      <w:lvlText w:val=""/>
      <w:lvlJc w:val="left"/>
    </w:lvl>
  </w:abstractNum>
  <w:abstractNum w:abstractNumId="1" w15:restartNumberingAfterBreak="0">
    <w:nsid w:val="78581475"/>
    <w:multiLevelType w:val="hybridMultilevel"/>
    <w:tmpl w:val="144AAC9C"/>
    <w:lvl w:ilvl="0" w:tplc="76B8E9B0">
      <w:start w:val="1"/>
      <w:numFmt w:val="bullet"/>
      <w:lvlText w:val="●"/>
      <w:lvlJc w:val="left"/>
      <w:pPr>
        <w:ind w:left="720" w:hanging="360"/>
      </w:pPr>
    </w:lvl>
    <w:lvl w:ilvl="1" w:tplc="975AC60A">
      <w:start w:val="1"/>
      <w:numFmt w:val="bullet"/>
      <w:lvlText w:val="○"/>
      <w:lvlJc w:val="left"/>
      <w:pPr>
        <w:ind w:left="1440" w:hanging="360"/>
      </w:pPr>
    </w:lvl>
    <w:lvl w:ilvl="2" w:tplc="15D4CA98">
      <w:start w:val="1"/>
      <w:numFmt w:val="bullet"/>
      <w:lvlText w:val="■"/>
      <w:lvlJc w:val="left"/>
      <w:pPr>
        <w:ind w:left="2160" w:hanging="360"/>
      </w:pPr>
    </w:lvl>
    <w:lvl w:ilvl="3" w:tplc="E6142DA2">
      <w:start w:val="1"/>
      <w:numFmt w:val="bullet"/>
      <w:lvlText w:val="●"/>
      <w:lvlJc w:val="left"/>
      <w:pPr>
        <w:ind w:left="2880" w:hanging="360"/>
      </w:pPr>
    </w:lvl>
    <w:lvl w:ilvl="4" w:tplc="1B502D7A">
      <w:start w:val="1"/>
      <w:numFmt w:val="bullet"/>
      <w:lvlText w:val="○"/>
      <w:lvlJc w:val="left"/>
      <w:pPr>
        <w:ind w:left="3600" w:hanging="360"/>
      </w:pPr>
    </w:lvl>
    <w:lvl w:ilvl="5" w:tplc="EAC08E74">
      <w:start w:val="1"/>
      <w:numFmt w:val="bullet"/>
      <w:lvlText w:val="■"/>
      <w:lvlJc w:val="left"/>
      <w:pPr>
        <w:ind w:left="4320" w:hanging="360"/>
      </w:pPr>
    </w:lvl>
    <w:lvl w:ilvl="6" w:tplc="7AC42624">
      <w:start w:val="1"/>
      <w:numFmt w:val="bullet"/>
      <w:lvlText w:val="●"/>
      <w:lvlJc w:val="left"/>
      <w:pPr>
        <w:ind w:left="5040" w:hanging="360"/>
      </w:pPr>
    </w:lvl>
    <w:lvl w:ilvl="7" w:tplc="954C32C6">
      <w:start w:val="1"/>
      <w:numFmt w:val="bullet"/>
      <w:lvlText w:val="●"/>
      <w:lvlJc w:val="left"/>
      <w:pPr>
        <w:ind w:left="5760" w:hanging="360"/>
      </w:pPr>
    </w:lvl>
    <w:lvl w:ilvl="8" w:tplc="2FD0A1A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742"/>
    <w:rsid w:val="0051295F"/>
    <w:rsid w:val="00734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4B213"/>
  <w15:docId w15:val="{77FD3A7E-2EFF-41A6-9920-E377EA1F8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40"/>
      <w:outlineLvl w:val="0"/>
    </w:pPr>
    <w:rPr>
      <w:b/>
      <w:bCs/>
      <w:color w:val="1B5E8B"/>
      <w:sz w:val="30"/>
      <w:szCs w:val="30"/>
    </w:rPr>
  </w:style>
  <w:style w:type="paragraph" w:styleId="Titre2">
    <w:name w:val="heading 2"/>
    <w:uiPriority w:val="9"/>
    <w:unhideWhenUsed/>
    <w:qFormat/>
    <w:pPr>
      <w:spacing w:before="280" w:after="140"/>
      <w:outlineLvl w:val="1"/>
    </w:pPr>
    <w:rPr>
      <w:b/>
      <w:bCs/>
      <w:color w:val="1B5E8B"/>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773</Words>
  <Characters>4411</Characters>
  <Application>Microsoft Office Word</Application>
  <DocSecurity>0</DocSecurity>
  <Lines>36</Lines>
  <Paragraphs>10</Paragraphs>
  <ScaleCrop>false</ScaleCrop>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Hope AKOHOUVI AMOU [SANTE]</cp:lastModifiedBy>
  <cp:revision>2</cp:revision>
  <dcterms:created xsi:type="dcterms:W3CDTF">2026-05-17T11:25:00Z</dcterms:created>
  <dcterms:modified xsi:type="dcterms:W3CDTF">2026-05-17T11:32:00Z</dcterms:modified>
</cp:coreProperties>
</file>