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D7EC7" w14:textId="77777777" w:rsidR="00E07AE4" w:rsidRPr="00C8767B" w:rsidRDefault="00C8767B" w:rsidP="00C8767B">
      <w:pPr>
        <w:pStyle w:val="Titre1"/>
        <w:jc w:val="center"/>
        <w:rPr>
          <w:rFonts w:ascii="Aptos" w:hAnsi="Aptos"/>
          <w:color w:val="002060"/>
          <w:sz w:val="28"/>
          <w:szCs w:val="28"/>
          <w:lang w:val="fr-FR"/>
        </w:rPr>
      </w:pPr>
      <w:r w:rsidRPr="00C8767B">
        <w:rPr>
          <w:rFonts w:ascii="Aptos" w:hAnsi="Aptos"/>
          <w:color w:val="002060"/>
          <w:sz w:val="28"/>
          <w:szCs w:val="28"/>
          <w:lang w:val="fr-FR"/>
        </w:rPr>
        <w:t>Centrales d’achat pharmaceutiques en Afrique : comment passer d’un rôle d’exécutant à un rôle stratégique</w:t>
      </w:r>
    </w:p>
    <w:p w14:paraId="4F355210"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Dans l’imaginaire institutionnel, une centrale d’achat pharmaceutique est souvent perçue comme une structure logistique — un intermédiaire chargé d’acheter des médicaments et de les distribuer. Cette vision réductrice masque une réalité bien plus exigeante</w:t>
      </w:r>
      <w:r w:rsidRPr="00C8767B">
        <w:rPr>
          <w:rFonts w:ascii="Aptos" w:hAnsi="Aptos"/>
          <w:sz w:val="24"/>
          <w:szCs w:val="24"/>
          <w:lang w:val="fr-FR"/>
        </w:rPr>
        <w:t>. Une centrale d’achat efficace est en réalité l’un des pivots les plus stratégiques du système de santé : elle conditionne directement la disponibilité des médicaments essentiels, l’efficience des dépenses pharmaceutiques publiques et, en définitive, la q</w:t>
      </w:r>
      <w:r w:rsidRPr="00C8767B">
        <w:rPr>
          <w:rFonts w:ascii="Aptos" w:hAnsi="Aptos"/>
          <w:sz w:val="24"/>
          <w:szCs w:val="24"/>
          <w:lang w:val="fr-FR"/>
        </w:rPr>
        <w:t>ualité des soins accessibles aux populations.</w:t>
      </w:r>
    </w:p>
    <w:p w14:paraId="4B9A0B60"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Pourtant, dans de nombreux pays africains, les centrales d’achat restent confrontées à des dysfonctionnements structurels qui limitent considérablement leur performance : problèmes de financement et de décaisse</w:t>
      </w:r>
      <w:r w:rsidRPr="00C8767B">
        <w:rPr>
          <w:rFonts w:ascii="Aptos" w:hAnsi="Aptos"/>
          <w:sz w:val="24"/>
          <w:szCs w:val="24"/>
          <w:lang w:val="fr-FR"/>
        </w:rPr>
        <w:t>ment, systèmes d’information insuffisants, capacités de stockage limitées, difficultés de coordination avec les programmes nationaux et les partenaires, et faiblesse des mécanismes de gouvernance interne. Selon le Fonds mondial, ces faiblesses figurent par</w:t>
      </w:r>
      <w:r w:rsidRPr="00C8767B">
        <w:rPr>
          <w:rFonts w:ascii="Aptos" w:hAnsi="Aptos"/>
          <w:sz w:val="24"/>
          <w:szCs w:val="24"/>
          <w:lang w:val="fr-FR"/>
        </w:rPr>
        <w:t>mi les principales causes de ruptures de stock et d’inefficacités dans les programmes de santé qu’il soutient en Afrique [1]. La question n’est donc pas de savoir si les centrales doivent évoluer — elle est de comprendre comment.</w:t>
      </w:r>
    </w:p>
    <w:p w14:paraId="6FB33A5D" w14:textId="77777777" w:rsidR="00E07AE4" w:rsidRPr="00C8767B" w:rsidRDefault="00C8767B" w:rsidP="00C8767B">
      <w:pPr>
        <w:pStyle w:val="Titre2"/>
        <w:jc w:val="both"/>
        <w:rPr>
          <w:rFonts w:ascii="Aptos" w:hAnsi="Aptos"/>
          <w:color w:val="C45911" w:themeColor="accent2" w:themeShade="BF"/>
          <w:lang w:val="fr-FR"/>
        </w:rPr>
      </w:pPr>
      <w:r w:rsidRPr="00C8767B">
        <w:rPr>
          <w:rFonts w:ascii="Aptos" w:hAnsi="Aptos"/>
          <w:color w:val="C45911" w:themeColor="accent2" w:themeShade="BF"/>
          <w:lang w:val="fr-FR"/>
        </w:rPr>
        <w:t>De la gestion des stocks à</w:t>
      </w:r>
      <w:r w:rsidRPr="00C8767B">
        <w:rPr>
          <w:rFonts w:ascii="Aptos" w:hAnsi="Aptos"/>
          <w:color w:val="C45911" w:themeColor="accent2" w:themeShade="BF"/>
          <w:lang w:val="fr-FR"/>
        </w:rPr>
        <w:t xml:space="preserve"> la maîtrise des flux</w:t>
      </w:r>
    </w:p>
    <w:p w14:paraId="49D2EF7B"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La première transformation nécessaire est conceptuelle. Une centrale d’achat performante ne gestion pas des stocks — elle maîtrise des flux. Cette distinction est fondamentale. Gérer des stocks, c’est réagir : compter ce qui est dispo</w:t>
      </w:r>
      <w:r w:rsidRPr="00C8767B">
        <w:rPr>
          <w:rFonts w:ascii="Aptos" w:hAnsi="Aptos"/>
          <w:sz w:val="24"/>
          <w:szCs w:val="24"/>
          <w:lang w:val="fr-FR"/>
        </w:rPr>
        <w:t>nible, commander quand les niveaux descendent trop bas, distribuer selon les demandes reçues. Maîtriser des flux, c’est anticiper : prévoir la demande, planifier les approvisionnements, optimiser les cycles de commande, anticiper les ruptures avant qu’elle</w:t>
      </w:r>
      <w:r w:rsidRPr="00C8767B">
        <w:rPr>
          <w:rFonts w:ascii="Aptos" w:hAnsi="Aptos"/>
          <w:sz w:val="24"/>
          <w:szCs w:val="24"/>
          <w:lang w:val="fr-FR"/>
        </w:rPr>
        <w:t>s surviennent et ajuster en temps réel grâce à des données fiables.</w:t>
      </w:r>
    </w:p>
    <w:p w14:paraId="3C3A1887"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Cette transition du réactif vers le proactif n’est possible qu’avec des systèmes d’information logistique adaptés — les eLMIS — capables de consolider les données de consommation et de sto</w:t>
      </w:r>
      <w:r w:rsidRPr="00C8767B">
        <w:rPr>
          <w:rFonts w:ascii="Aptos" w:hAnsi="Aptos"/>
          <w:sz w:val="24"/>
          <w:szCs w:val="24"/>
          <w:lang w:val="fr-FR"/>
        </w:rPr>
        <w:t>ck en temps réel, depuis le niveau central jusqu’aux formations sanitaires périphériques. Selon l’USAID, les programmes qui ont investi dans des systèmes eLMIS performants ont obtenu des réductions significatives des taux de rupture de stock et une meilleu</w:t>
      </w:r>
      <w:r w:rsidRPr="00C8767B">
        <w:rPr>
          <w:rFonts w:ascii="Aptos" w:hAnsi="Aptos"/>
          <w:sz w:val="24"/>
          <w:szCs w:val="24"/>
          <w:lang w:val="fr-FR"/>
        </w:rPr>
        <w:t>re utilisation des ressources pharmaceutiques [2]. La donnée logistique devient ainsi le premier outil stratégique d’une centrale d’achat moderne.</w:t>
      </w:r>
    </w:p>
    <w:p w14:paraId="1BCBBA87" w14:textId="77777777" w:rsidR="00E07AE4" w:rsidRPr="00C8767B" w:rsidRDefault="00C8767B" w:rsidP="00C8767B">
      <w:pPr>
        <w:pStyle w:val="Titre2"/>
        <w:jc w:val="both"/>
        <w:rPr>
          <w:rFonts w:ascii="Aptos" w:hAnsi="Aptos"/>
          <w:color w:val="C45911" w:themeColor="accent2" w:themeShade="BF"/>
          <w:lang w:val="fr-FR"/>
        </w:rPr>
      </w:pPr>
      <w:r w:rsidRPr="00C8767B">
        <w:rPr>
          <w:rFonts w:ascii="Aptos" w:hAnsi="Aptos"/>
          <w:color w:val="C45911" w:themeColor="accent2" w:themeShade="BF"/>
          <w:lang w:val="fr-FR"/>
        </w:rPr>
        <w:t>La gouvernance interne : condition préalable à toute performance</w:t>
      </w:r>
    </w:p>
    <w:p w14:paraId="71BF8B75"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Une centrale d’achat ne peut jouer un rôle s</w:t>
      </w:r>
      <w:r w:rsidRPr="00C8767B">
        <w:rPr>
          <w:rFonts w:ascii="Aptos" w:hAnsi="Aptos"/>
          <w:sz w:val="24"/>
          <w:szCs w:val="24"/>
          <w:lang w:val="fr-FR"/>
        </w:rPr>
        <w:t>tratégique que si sa propre gouvernance interne est solide. Cela suppose des procédures claires de passation de marchés, des mécanismes de contrôle interne rigoureux, une séparation nette des fonctions, des systèmes de gestion financier transparents et des</w:t>
      </w:r>
      <w:r w:rsidRPr="00C8767B">
        <w:rPr>
          <w:rFonts w:ascii="Aptos" w:hAnsi="Aptos"/>
          <w:sz w:val="24"/>
          <w:szCs w:val="24"/>
          <w:lang w:val="fr-FR"/>
        </w:rPr>
        <w:t xml:space="preserve"> mécanismes d’audit réguliers. Ces exigences ne sont pas uniquement des contraintes réglementaires : ce sont des gages de crédibilité vis-à-vis des partenaires, des bailleurs et des gouvernements.</w:t>
      </w:r>
    </w:p>
    <w:p w14:paraId="5C55ED1B"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Dans les contextes où les centrales d’achat dépendent forte</w:t>
      </w:r>
      <w:r w:rsidRPr="00C8767B">
        <w:rPr>
          <w:rFonts w:ascii="Aptos" w:hAnsi="Aptos"/>
          <w:sz w:val="24"/>
          <w:szCs w:val="24"/>
          <w:lang w:val="fr-FR"/>
        </w:rPr>
        <w:t xml:space="preserve">ment des financements extérieurs — Fonds mondial, USAID, Banque mondiale — la qualité de la gouvernance interne conditionne directement l’accès aux ressources. Un rapport de l’Inspecteur général du Fonds mondial a souligné que les faiblesses des contrôles </w:t>
      </w:r>
      <w:r w:rsidRPr="00C8767B">
        <w:rPr>
          <w:rFonts w:ascii="Aptos" w:hAnsi="Aptos"/>
          <w:sz w:val="24"/>
          <w:szCs w:val="24"/>
          <w:lang w:val="fr-FR"/>
        </w:rPr>
        <w:t>internes dans les structures d’approvisionnement constituent l’un des principaux facteurs de risque pour les investissements internationaux en santé [1]. Améliorer la gouvernance interne, c’est donc aussi sécuriser les financements futurs.</w:t>
      </w:r>
    </w:p>
    <w:p w14:paraId="67760A56" w14:textId="77777777" w:rsidR="00E07AE4" w:rsidRPr="00C8767B" w:rsidRDefault="00C8767B" w:rsidP="00C8767B">
      <w:pPr>
        <w:pStyle w:val="Titre2"/>
        <w:jc w:val="both"/>
        <w:rPr>
          <w:rFonts w:ascii="Aptos" w:hAnsi="Aptos"/>
          <w:color w:val="C45911" w:themeColor="accent2" w:themeShade="BF"/>
          <w:lang w:val="fr-FR"/>
        </w:rPr>
      </w:pPr>
      <w:r w:rsidRPr="00C8767B">
        <w:rPr>
          <w:rFonts w:ascii="Aptos" w:hAnsi="Aptos"/>
          <w:color w:val="C45911" w:themeColor="accent2" w:themeShade="BF"/>
          <w:lang w:val="fr-FR"/>
        </w:rPr>
        <w:t xml:space="preserve">La coordination </w:t>
      </w:r>
      <w:r w:rsidRPr="00C8767B">
        <w:rPr>
          <w:rFonts w:ascii="Aptos" w:hAnsi="Aptos"/>
          <w:color w:val="C45911" w:themeColor="accent2" w:themeShade="BF"/>
          <w:lang w:val="fr-FR"/>
        </w:rPr>
        <w:t>avec les programmes nationaux : un levier sous-exploité</w:t>
      </w:r>
    </w:p>
    <w:p w14:paraId="367763CD"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lastRenderedPageBreak/>
        <w:t>L’un des paradoxes les plus fréquents dans les systèmes pharmaceutiques africains est la coexistence de plusieurs circuits d’approvisionnement parallèles : la centrale nationale d’achat, les programme</w:t>
      </w:r>
      <w:r w:rsidRPr="00C8767B">
        <w:rPr>
          <w:rFonts w:ascii="Aptos" w:hAnsi="Aptos"/>
          <w:sz w:val="24"/>
          <w:szCs w:val="24"/>
          <w:lang w:val="fr-FR"/>
        </w:rPr>
        <w:t>s verticaux financés par les bailleurs, les achats directs des hôpitaux, et parfois les importations privées. Cette fragmentation crée des redondances, des incohérences dans les niveaux de stock, des difficultés de prévision de la demande et des tensions i</w:t>
      </w:r>
      <w:r w:rsidRPr="00C8767B">
        <w:rPr>
          <w:rFonts w:ascii="Aptos" w:hAnsi="Aptos"/>
          <w:sz w:val="24"/>
          <w:szCs w:val="24"/>
          <w:lang w:val="fr-FR"/>
        </w:rPr>
        <w:t>nstitutionnelles entre acteurs.</w:t>
      </w:r>
    </w:p>
    <w:p w14:paraId="1D3C9228"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Une centrale d’achat qui ambitionne un rôle stratégique doit progressivement devenir le point de convergence de ces flux — pas nécessairement en absorbant tous les circuits, mais en jouant un rôle de coordination, d’harmonis</w:t>
      </w:r>
      <w:r w:rsidRPr="00C8767B">
        <w:rPr>
          <w:rFonts w:ascii="Aptos" w:hAnsi="Aptos"/>
          <w:sz w:val="24"/>
          <w:szCs w:val="24"/>
          <w:lang w:val="fr-FR"/>
        </w:rPr>
        <w:t>ation des données et de référence pour la planification nationale des approvisionnements. L’OMS recommande d’ailleurs que les pays développent des mécanismes intégrés de coordination pharmaceutique permettant de réduire la fragmentation et d’améliorer la c</w:t>
      </w:r>
      <w:r w:rsidRPr="00C8767B">
        <w:rPr>
          <w:rFonts w:ascii="Aptos" w:hAnsi="Aptos"/>
          <w:sz w:val="24"/>
          <w:szCs w:val="24"/>
          <w:lang w:val="fr-FR"/>
        </w:rPr>
        <w:t>ohérence des interventions [3].</w:t>
      </w:r>
    </w:p>
    <w:p w14:paraId="37BFC47A" w14:textId="77777777" w:rsidR="00E07AE4" w:rsidRPr="00C8767B" w:rsidRDefault="00C8767B" w:rsidP="00C8767B">
      <w:pPr>
        <w:pStyle w:val="Titre2"/>
        <w:jc w:val="both"/>
        <w:rPr>
          <w:rFonts w:ascii="Aptos" w:hAnsi="Aptos"/>
          <w:color w:val="C45911" w:themeColor="accent2" w:themeShade="BF"/>
          <w:lang w:val="fr-FR"/>
        </w:rPr>
      </w:pPr>
      <w:r w:rsidRPr="00C8767B">
        <w:rPr>
          <w:rFonts w:ascii="Aptos" w:hAnsi="Aptos"/>
          <w:color w:val="C45911" w:themeColor="accent2" w:themeShade="BF"/>
          <w:lang w:val="fr-FR"/>
        </w:rPr>
        <w:t>La transformation digitale : accélérateur de performance et de transparence</w:t>
      </w:r>
    </w:p>
    <w:p w14:paraId="52E13BC9"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 xml:space="preserve">La digitalisation de la chaîne d’approvisionnement pharmaceutique est aujourd’hui un impératif stratégique pour toute centrale d’achat qui souhaite </w:t>
      </w:r>
      <w:r w:rsidRPr="00C8767B">
        <w:rPr>
          <w:rFonts w:ascii="Aptos" w:hAnsi="Aptos"/>
          <w:sz w:val="24"/>
          <w:szCs w:val="24"/>
          <w:lang w:val="fr-FR"/>
        </w:rPr>
        <w:t>évoluer. Elle permet non seulement d’améliorer la visibilité des stocks et des flux, mais aussi de renforcer la traçabilité des produits, de réduire les risques de détournement, d’accélérer les processus de commande et de livraison, et de produire des donn</w:t>
      </w:r>
      <w:r w:rsidRPr="00C8767B">
        <w:rPr>
          <w:rFonts w:ascii="Aptos" w:hAnsi="Aptos"/>
          <w:sz w:val="24"/>
          <w:szCs w:val="24"/>
          <w:lang w:val="fr-FR"/>
        </w:rPr>
        <w:t>ées fiables pour la prise de décision à tous les niveaux du système.</w:t>
      </w:r>
    </w:p>
    <w:p w14:paraId="25BF6217"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La digitalisation renforce également la transparence vis-à-vis des parties prenantes — gouvernements, partenaires, populations — en rendant les flux pharmaceutiques auditable et vérifiabl</w:t>
      </w:r>
      <w:r w:rsidRPr="00C8767B">
        <w:rPr>
          <w:rFonts w:ascii="Aptos" w:hAnsi="Aptos"/>
          <w:sz w:val="24"/>
          <w:szCs w:val="24"/>
          <w:lang w:val="fr-FR"/>
        </w:rPr>
        <w:t>es. Dans un secteur où la confiance est un actif stratégique, cette transparence est un avantage concurrentiel et institutionnel majeur. Les centrales qui ont engagé cette transition sont mieux positionnées pour attirer des financements, négocier des parte</w:t>
      </w:r>
      <w:r w:rsidRPr="00C8767B">
        <w:rPr>
          <w:rFonts w:ascii="Aptos" w:hAnsi="Aptos"/>
          <w:sz w:val="24"/>
          <w:szCs w:val="24"/>
          <w:lang w:val="fr-FR"/>
        </w:rPr>
        <w:t>nariats et jouer un rôle de premier plan dans la gouvernance pharmaceutique nationale.</w:t>
      </w:r>
    </w:p>
    <w:p w14:paraId="3A22DE8D" w14:textId="77777777" w:rsidR="00E07AE4" w:rsidRPr="00C8767B" w:rsidRDefault="00C8767B" w:rsidP="00C8767B">
      <w:pPr>
        <w:pStyle w:val="Titre2"/>
        <w:jc w:val="both"/>
        <w:rPr>
          <w:rFonts w:ascii="Aptos" w:hAnsi="Aptos"/>
          <w:color w:val="C45911" w:themeColor="accent2" w:themeShade="BF"/>
          <w:lang w:val="fr-FR"/>
        </w:rPr>
      </w:pPr>
      <w:r w:rsidRPr="00C8767B">
        <w:rPr>
          <w:rFonts w:ascii="Aptos" w:hAnsi="Aptos"/>
          <w:color w:val="C45911" w:themeColor="accent2" w:themeShade="BF"/>
          <w:lang w:val="fr-FR"/>
        </w:rPr>
        <w:t>Ce que SaniNova apporte aux centrales d’achat</w:t>
      </w:r>
    </w:p>
    <w:p w14:paraId="66C0AB06" w14:textId="77777777" w:rsidR="00E07AE4" w:rsidRPr="00C8767B" w:rsidRDefault="00C8767B" w:rsidP="00C8767B">
      <w:pPr>
        <w:spacing w:after="180"/>
        <w:jc w:val="both"/>
        <w:rPr>
          <w:rFonts w:ascii="Aptos" w:hAnsi="Aptos"/>
          <w:sz w:val="24"/>
          <w:szCs w:val="24"/>
          <w:lang w:val="fr-FR"/>
        </w:rPr>
      </w:pPr>
      <w:r w:rsidRPr="00C8767B">
        <w:rPr>
          <w:rFonts w:ascii="Aptos" w:hAnsi="Aptos"/>
          <w:sz w:val="24"/>
          <w:szCs w:val="24"/>
          <w:lang w:val="fr-FR"/>
        </w:rPr>
        <w:t>SaniNova accompagne les centrales d’achat pharmaceutiques dans leur transformation stratégique et opérationnelle : diagnost</w:t>
      </w:r>
      <w:r w:rsidRPr="00C8767B">
        <w:rPr>
          <w:rFonts w:ascii="Aptos" w:hAnsi="Aptos"/>
          <w:sz w:val="24"/>
          <w:szCs w:val="24"/>
          <w:lang w:val="fr-FR"/>
        </w:rPr>
        <w:t>ic complet des systèmes logistiques, conception de modèles d’approvisionnement optimisés, déploiement et optimisation des systèmes eLMIS, renforcement de la gouvernance interne, développement des capacités des équipes et appui à la coordination avec les ac</w:t>
      </w:r>
      <w:r w:rsidRPr="00C8767B">
        <w:rPr>
          <w:rFonts w:ascii="Aptos" w:hAnsi="Aptos"/>
          <w:sz w:val="24"/>
          <w:szCs w:val="24"/>
          <w:lang w:val="fr-FR"/>
        </w:rPr>
        <w:t>teurs du système pharmaceutique national.</w:t>
      </w:r>
    </w:p>
    <w:p w14:paraId="086E034A" w14:textId="77777777" w:rsidR="00E07AE4" w:rsidRPr="00C8767B" w:rsidRDefault="00C8767B" w:rsidP="00C8767B">
      <w:pPr>
        <w:spacing w:after="180"/>
        <w:jc w:val="both"/>
        <w:rPr>
          <w:rFonts w:ascii="Aptos" w:hAnsi="Aptos"/>
          <w:sz w:val="24"/>
          <w:szCs w:val="24"/>
        </w:rPr>
      </w:pPr>
      <w:r w:rsidRPr="00C8767B">
        <w:rPr>
          <w:rFonts w:ascii="Aptos" w:hAnsi="Aptos"/>
          <w:sz w:val="24"/>
          <w:szCs w:val="24"/>
          <w:lang w:val="fr-FR"/>
        </w:rPr>
        <w:t>Notre conviction est que chaque centrale d’achat porte en elle le potentiel de devenir un acteur stratégique de son système de santé. Ce potentiel ne se réalise pas seul : il demande une vision claire, des outils a</w:t>
      </w:r>
      <w:r w:rsidRPr="00C8767B">
        <w:rPr>
          <w:rFonts w:ascii="Aptos" w:hAnsi="Aptos"/>
          <w:sz w:val="24"/>
          <w:szCs w:val="24"/>
          <w:lang w:val="fr-FR"/>
        </w:rPr>
        <w:t xml:space="preserve">daptés et un accompagnement ancré dans les réalités institutionnelles du pays. </w:t>
      </w:r>
      <w:proofErr w:type="spellStart"/>
      <w:r w:rsidRPr="00C8767B">
        <w:rPr>
          <w:rFonts w:ascii="Aptos" w:hAnsi="Aptos"/>
          <w:sz w:val="24"/>
          <w:szCs w:val="24"/>
        </w:rPr>
        <w:t>C’est</w:t>
      </w:r>
      <w:proofErr w:type="spellEnd"/>
      <w:r w:rsidRPr="00C8767B">
        <w:rPr>
          <w:rFonts w:ascii="Aptos" w:hAnsi="Aptos"/>
          <w:sz w:val="24"/>
          <w:szCs w:val="24"/>
        </w:rPr>
        <w:t xml:space="preserve"> </w:t>
      </w:r>
      <w:proofErr w:type="spellStart"/>
      <w:r w:rsidRPr="00C8767B">
        <w:rPr>
          <w:rFonts w:ascii="Aptos" w:hAnsi="Aptos"/>
          <w:sz w:val="24"/>
          <w:szCs w:val="24"/>
        </w:rPr>
        <w:t>exactement</w:t>
      </w:r>
      <w:proofErr w:type="spellEnd"/>
      <w:r w:rsidRPr="00C8767B">
        <w:rPr>
          <w:rFonts w:ascii="Aptos" w:hAnsi="Aptos"/>
          <w:sz w:val="24"/>
          <w:szCs w:val="24"/>
        </w:rPr>
        <w:t xml:space="preserve"> </w:t>
      </w:r>
      <w:proofErr w:type="spellStart"/>
      <w:r w:rsidRPr="00C8767B">
        <w:rPr>
          <w:rFonts w:ascii="Aptos" w:hAnsi="Aptos"/>
          <w:sz w:val="24"/>
          <w:szCs w:val="24"/>
        </w:rPr>
        <w:t>ce</w:t>
      </w:r>
      <w:proofErr w:type="spellEnd"/>
      <w:r w:rsidRPr="00C8767B">
        <w:rPr>
          <w:rFonts w:ascii="Aptos" w:hAnsi="Aptos"/>
          <w:sz w:val="24"/>
          <w:szCs w:val="24"/>
        </w:rPr>
        <w:t xml:space="preserve"> que nous </w:t>
      </w:r>
      <w:proofErr w:type="spellStart"/>
      <w:r w:rsidRPr="00C8767B">
        <w:rPr>
          <w:rFonts w:ascii="Aptos" w:hAnsi="Aptos"/>
          <w:sz w:val="24"/>
          <w:szCs w:val="24"/>
        </w:rPr>
        <w:t>apportons</w:t>
      </w:r>
      <w:proofErr w:type="spellEnd"/>
      <w:r w:rsidRPr="00C8767B">
        <w:rPr>
          <w:rFonts w:ascii="Aptos" w:hAnsi="Aptos"/>
          <w:sz w:val="24"/>
          <w:szCs w:val="24"/>
        </w:rPr>
        <w:t>.</w:t>
      </w:r>
    </w:p>
    <w:p w14:paraId="721B417F" w14:textId="77777777" w:rsidR="00C8767B" w:rsidRDefault="00C8767B" w:rsidP="00C8767B">
      <w:pPr>
        <w:spacing w:before="120" w:after="120"/>
        <w:jc w:val="both"/>
        <w:rPr>
          <w:rFonts w:ascii="Aptos" w:hAnsi="Aptos"/>
          <w:b/>
          <w:bCs/>
          <w:color w:val="333333"/>
          <w:sz w:val="24"/>
          <w:szCs w:val="24"/>
        </w:rPr>
      </w:pPr>
    </w:p>
    <w:p w14:paraId="0C9A8BE2" w14:textId="5AC92848" w:rsidR="00E07AE4" w:rsidRPr="00C8767B" w:rsidRDefault="00C8767B" w:rsidP="00C8767B">
      <w:pPr>
        <w:spacing w:before="120" w:after="120"/>
        <w:jc w:val="both"/>
        <w:rPr>
          <w:rFonts w:ascii="Aptos" w:hAnsi="Aptos"/>
          <w:sz w:val="20"/>
          <w:szCs w:val="20"/>
        </w:rPr>
      </w:pPr>
      <w:proofErr w:type="spellStart"/>
      <w:r w:rsidRPr="00C8767B">
        <w:rPr>
          <w:rFonts w:ascii="Aptos" w:hAnsi="Aptos"/>
          <w:b/>
          <w:bCs/>
          <w:color w:val="333333"/>
          <w:sz w:val="20"/>
          <w:szCs w:val="20"/>
        </w:rPr>
        <w:t>Références</w:t>
      </w:r>
      <w:proofErr w:type="spellEnd"/>
      <w:r w:rsidRPr="00C8767B">
        <w:rPr>
          <w:rFonts w:ascii="Aptos" w:hAnsi="Aptos"/>
          <w:b/>
          <w:bCs/>
          <w:color w:val="333333"/>
          <w:sz w:val="20"/>
          <w:szCs w:val="20"/>
        </w:rPr>
        <w:t xml:space="preserve"> </w:t>
      </w:r>
      <w:proofErr w:type="spellStart"/>
      <w:r w:rsidRPr="00C8767B">
        <w:rPr>
          <w:rFonts w:ascii="Aptos" w:hAnsi="Aptos"/>
          <w:b/>
          <w:bCs/>
          <w:color w:val="333333"/>
          <w:sz w:val="20"/>
          <w:szCs w:val="20"/>
        </w:rPr>
        <w:t>bibliographiques</w:t>
      </w:r>
      <w:proofErr w:type="spellEnd"/>
    </w:p>
    <w:p w14:paraId="1FF520EA" w14:textId="77777777" w:rsidR="00E07AE4" w:rsidRPr="00C8767B" w:rsidRDefault="00C8767B" w:rsidP="00C8767B">
      <w:pPr>
        <w:pStyle w:val="Paragraphedeliste"/>
        <w:numPr>
          <w:ilvl w:val="0"/>
          <w:numId w:val="2"/>
        </w:numPr>
        <w:spacing w:after="80"/>
        <w:jc w:val="both"/>
        <w:rPr>
          <w:rFonts w:ascii="Aptos" w:hAnsi="Aptos"/>
          <w:sz w:val="20"/>
          <w:szCs w:val="20"/>
        </w:rPr>
      </w:pPr>
      <w:r w:rsidRPr="00C8767B">
        <w:rPr>
          <w:rFonts w:ascii="Aptos" w:hAnsi="Aptos"/>
          <w:color w:val="555555"/>
          <w:sz w:val="20"/>
          <w:szCs w:val="20"/>
        </w:rPr>
        <w:t>The Global Fund Office of the Inspector General (OIG). Supply Chain and Procurement Challenges in Global Hea</w:t>
      </w:r>
      <w:r w:rsidRPr="00C8767B">
        <w:rPr>
          <w:rFonts w:ascii="Aptos" w:hAnsi="Aptos"/>
          <w:color w:val="555555"/>
          <w:sz w:val="20"/>
          <w:szCs w:val="20"/>
        </w:rPr>
        <w:t xml:space="preserve">lth Programs. </w:t>
      </w:r>
      <w:proofErr w:type="gramStart"/>
      <w:r w:rsidRPr="00C8767B">
        <w:rPr>
          <w:rFonts w:ascii="Aptos" w:hAnsi="Aptos"/>
          <w:color w:val="555555"/>
          <w:sz w:val="20"/>
          <w:szCs w:val="20"/>
        </w:rPr>
        <w:t>Geneva :</w:t>
      </w:r>
      <w:proofErr w:type="gramEnd"/>
      <w:r w:rsidRPr="00C8767B">
        <w:rPr>
          <w:rFonts w:ascii="Aptos" w:hAnsi="Aptos"/>
          <w:color w:val="555555"/>
          <w:sz w:val="20"/>
          <w:szCs w:val="20"/>
        </w:rPr>
        <w:t xml:space="preserve"> The Global Fund, 2024.</w:t>
      </w:r>
    </w:p>
    <w:p w14:paraId="19FC733F" w14:textId="77777777" w:rsidR="00E07AE4" w:rsidRPr="00C8767B" w:rsidRDefault="00C8767B" w:rsidP="00C8767B">
      <w:pPr>
        <w:pStyle w:val="Paragraphedeliste"/>
        <w:numPr>
          <w:ilvl w:val="0"/>
          <w:numId w:val="2"/>
        </w:numPr>
        <w:spacing w:after="80"/>
        <w:jc w:val="both"/>
        <w:rPr>
          <w:rFonts w:ascii="Aptos" w:hAnsi="Aptos"/>
          <w:sz w:val="20"/>
          <w:szCs w:val="20"/>
        </w:rPr>
      </w:pPr>
      <w:r w:rsidRPr="00C8767B">
        <w:rPr>
          <w:rFonts w:ascii="Aptos" w:hAnsi="Aptos"/>
          <w:color w:val="555555"/>
          <w:sz w:val="20"/>
          <w:szCs w:val="20"/>
        </w:rPr>
        <w:t xml:space="preserve">USAID Global Health Supply Chain Program – Procurement and Supply Management (GHSC-PSM). Annual Report FY23. Arlington, </w:t>
      </w:r>
      <w:proofErr w:type="gramStart"/>
      <w:r w:rsidRPr="00C8767B">
        <w:rPr>
          <w:rFonts w:ascii="Aptos" w:hAnsi="Aptos"/>
          <w:color w:val="555555"/>
          <w:sz w:val="20"/>
          <w:szCs w:val="20"/>
        </w:rPr>
        <w:t>VA :</w:t>
      </w:r>
      <w:proofErr w:type="gramEnd"/>
      <w:r w:rsidRPr="00C8767B">
        <w:rPr>
          <w:rFonts w:ascii="Aptos" w:hAnsi="Aptos"/>
          <w:color w:val="555555"/>
          <w:sz w:val="20"/>
          <w:szCs w:val="20"/>
        </w:rPr>
        <w:t xml:space="preserve"> USAID GHSC-PSM, 2023.</w:t>
      </w:r>
    </w:p>
    <w:p w14:paraId="04DE013F" w14:textId="77777777" w:rsidR="00E07AE4" w:rsidRPr="00C8767B" w:rsidRDefault="00C8767B" w:rsidP="00C8767B">
      <w:pPr>
        <w:pStyle w:val="Paragraphedeliste"/>
        <w:numPr>
          <w:ilvl w:val="0"/>
          <w:numId w:val="2"/>
        </w:numPr>
        <w:spacing w:after="80"/>
        <w:jc w:val="both"/>
        <w:rPr>
          <w:rFonts w:ascii="Aptos" w:hAnsi="Aptos"/>
          <w:sz w:val="20"/>
          <w:szCs w:val="20"/>
        </w:rPr>
      </w:pPr>
      <w:r w:rsidRPr="00C8767B">
        <w:rPr>
          <w:rFonts w:ascii="Aptos" w:hAnsi="Aptos"/>
          <w:color w:val="555555"/>
          <w:sz w:val="20"/>
          <w:szCs w:val="20"/>
        </w:rPr>
        <w:t>World Health Organization (WHO). Monitoring the Building Blocks</w:t>
      </w:r>
      <w:r w:rsidRPr="00C8767B">
        <w:rPr>
          <w:rFonts w:ascii="Aptos" w:hAnsi="Aptos"/>
          <w:color w:val="555555"/>
          <w:sz w:val="20"/>
          <w:szCs w:val="20"/>
        </w:rPr>
        <w:t xml:space="preserve"> of Health Systems: A Handbook of Indicators and Their Measurement Strategies. </w:t>
      </w:r>
      <w:proofErr w:type="gramStart"/>
      <w:r w:rsidRPr="00C8767B">
        <w:rPr>
          <w:rFonts w:ascii="Aptos" w:hAnsi="Aptos"/>
          <w:color w:val="555555"/>
          <w:sz w:val="20"/>
          <w:szCs w:val="20"/>
        </w:rPr>
        <w:t>Geneva :</w:t>
      </w:r>
      <w:proofErr w:type="gramEnd"/>
      <w:r w:rsidRPr="00C8767B">
        <w:rPr>
          <w:rFonts w:ascii="Aptos" w:hAnsi="Aptos"/>
          <w:color w:val="555555"/>
          <w:sz w:val="20"/>
          <w:szCs w:val="20"/>
        </w:rPr>
        <w:t xml:space="preserve"> WHO, 2010.</w:t>
      </w:r>
    </w:p>
    <w:sectPr w:rsidR="00E07AE4" w:rsidRPr="00C8767B" w:rsidSect="00C8767B">
      <w:pgSz w:w="11906" w:h="16838"/>
      <w:pgMar w:top="709" w:right="566"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9560E"/>
    <w:multiLevelType w:val="hybridMultilevel"/>
    <w:tmpl w:val="46D84D64"/>
    <w:lvl w:ilvl="0" w:tplc="7BBC3D72">
      <w:start w:val="1"/>
      <w:numFmt w:val="decimal"/>
      <w:lvlText w:val="[%1]"/>
      <w:lvlJc w:val="left"/>
      <w:pPr>
        <w:ind w:left="540" w:hanging="360"/>
      </w:pPr>
    </w:lvl>
    <w:lvl w:ilvl="1" w:tplc="B6F44AE6">
      <w:numFmt w:val="decimal"/>
      <w:lvlText w:val=""/>
      <w:lvlJc w:val="left"/>
    </w:lvl>
    <w:lvl w:ilvl="2" w:tplc="D8942740">
      <w:numFmt w:val="decimal"/>
      <w:lvlText w:val=""/>
      <w:lvlJc w:val="left"/>
    </w:lvl>
    <w:lvl w:ilvl="3" w:tplc="301AE04E">
      <w:numFmt w:val="decimal"/>
      <w:lvlText w:val=""/>
      <w:lvlJc w:val="left"/>
    </w:lvl>
    <w:lvl w:ilvl="4" w:tplc="936C2714">
      <w:numFmt w:val="decimal"/>
      <w:lvlText w:val=""/>
      <w:lvlJc w:val="left"/>
    </w:lvl>
    <w:lvl w:ilvl="5" w:tplc="7C4A9648">
      <w:numFmt w:val="decimal"/>
      <w:lvlText w:val=""/>
      <w:lvlJc w:val="left"/>
    </w:lvl>
    <w:lvl w:ilvl="6" w:tplc="E9C82324">
      <w:numFmt w:val="decimal"/>
      <w:lvlText w:val=""/>
      <w:lvlJc w:val="left"/>
    </w:lvl>
    <w:lvl w:ilvl="7" w:tplc="7E90B8C8">
      <w:numFmt w:val="decimal"/>
      <w:lvlText w:val=""/>
      <w:lvlJc w:val="left"/>
    </w:lvl>
    <w:lvl w:ilvl="8" w:tplc="7F9CE412">
      <w:numFmt w:val="decimal"/>
      <w:lvlText w:val=""/>
      <w:lvlJc w:val="left"/>
    </w:lvl>
  </w:abstractNum>
  <w:abstractNum w:abstractNumId="1" w15:restartNumberingAfterBreak="0">
    <w:nsid w:val="587D6C01"/>
    <w:multiLevelType w:val="hybridMultilevel"/>
    <w:tmpl w:val="4768CBA0"/>
    <w:lvl w:ilvl="0" w:tplc="5678C3C4">
      <w:start w:val="1"/>
      <w:numFmt w:val="bullet"/>
      <w:lvlText w:val="●"/>
      <w:lvlJc w:val="left"/>
      <w:pPr>
        <w:ind w:left="720" w:hanging="360"/>
      </w:pPr>
    </w:lvl>
    <w:lvl w:ilvl="1" w:tplc="D172B73E">
      <w:start w:val="1"/>
      <w:numFmt w:val="bullet"/>
      <w:lvlText w:val="○"/>
      <w:lvlJc w:val="left"/>
      <w:pPr>
        <w:ind w:left="1440" w:hanging="360"/>
      </w:pPr>
    </w:lvl>
    <w:lvl w:ilvl="2" w:tplc="6726B878">
      <w:start w:val="1"/>
      <w:numFmt w:val="bullet"/>
      <w:lvlText w:val="■"/>
      <w:lvlJc w:val="left"/>
      <w:pPr>
        <w:ind w:left="2160" w:hanging="360"/>
      </w:pPr>
    </w:lvl>
    <w:lvl w:ilvl="3" w:tplc="82DE10A6">
      <w:start w:val="1"/>
      <w:numFmt w:val="bullet"/>
      <w:lvlText w:val="●"/>
      <w:lvlJc w:val="left"/>
      <w:pPr>
        <w:ind w:left="2880" w:hanging="360"/>
      </w:pPr>
    </w:lvl>
    <w:lvl w:ilvl="4" w:tplc="F84ACAD4">
      <w:start w:val="1"/>
      <w:numFmt w:val="bullet"/>
      <w:lvlText w:val="○"/>
      <w:lvlJc w:val="left"/>
      <w:pPr>
        <w:ind w:left="3600" w:hanging="360"/>
      </w:pPr>
    </w:lvl>
    <w:lvl w:ilvl="5" w:tplc="B4D610B8">
      <w:start w:val="1"/>
      <w:numFmt w:val="bullet"/>
      <w:lvlText w:val="■"/>
      <w:lvlJc w:val="left"/>
      <w:pPr>
        <w:ind w:left="4320" w:hanging="360"/>
      </w:pPr>
    </w:lvl>
    <w:lvl w:ilvl="6" w:tplc="A202BB5E">
      <w:start w:val="1"/>
      <w:numFmt w:val="bullet"/>
      <w:lvlText w:val="●"/>
      <w:lvlJc w:val="left"/>
      <w:pPr>
        <w:ind w:left="5040" w:hanging="360"/>
      </w:pPr>
    </w:lvl>
    <w:lvl w:ilvl="7" w:tplc="A1662F9A">
      <w:start w:val="1"/>
      <w:numFmt w:val="bullet"/>
      <w:lvlText w:val="●"/>
      <w:lvlJc w:val="left"/>
      <w:pPr>
        <w:ind w:left="5760" w:hanging="360"/>
      </w:pPr>
    </w:lvl>
    <w:lvl w:ilvl="8" w:tplc="9BB4C3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AE4"/>
    <w:rsid w:val="00C8767B"/>
    <w:rsid w:val="00E07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C9F8"/>
  <w15:docId w15:val="{B2FFAF8F-09EC-4664-97C9-62B1F1BC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2026-05-17T11:53:00Z</dcterms:created>
  <dcterms:modified xsi:type="dcterms:W3CDTF">2026-05-17T11:58:00Z</dcterms:modified>
</cp:coreProperties>
</file>