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E9B94" w14:textId="32155216" w:rsidR="0063256E" w:rsidRDefault="00564A67" w:rsidP="00564A67">
      <w:pPr>
        <w:pStyle w:val="Titre1"/>
        <w:jc w:val="center"/>
        <w:rPr>
          <w:rFonts w:ascii="Aptos" w:hAnsi="Aptos"/>
          <w:color w:val="002060"/>
          <w:sz w:val="28"/>
          <w:szCs w:val="28"/>
          <w:lang w:val="fr-FR"/>
        </w:rPr>
      </w:pPr>
      <w:r w:rsidRPr="00564A67">
        <w:rPr>
          <w:rFonts w:ascii="Aptos" w:hAnsi="Aptos"/>
          <w:color w:val="002060"/>
          <w:sz w:val="28"/>
          <w:szCs w:val="28"/>
          <w:lang w:val="fr-FR"/>
        </w:rPr>
        <w:t>Autorités nationales du médicament en Afrique : cinq transformations urgentes pour gagner en crédibilité et en efficacité</w:t>
      </w:r>
    </w:p>
    <w:p w14:paraId="5FA354E1"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Une autorité nationale du médicament est bien plus qu’une administration publique chargée de délivrer des autorisations de mise sur le marché. Elle est le gardien de la qualité, de la sécurité et de l’efficacité des produits pharmaceutiques qui circulent d</w:t>
      </w:r>
      <w:r w:rsidRPr="00564A67">
        <w:rPr>
          <w:rFonts w:ascii="Aptos" w:hAnsi="Aptos"/>
          <w:sz w:val="24"/>
          <w:szCs w:val="24"/>
          <w:lang w:val="fr-FR"/>
        </w:rPr>
        <w:t>ans un pays. Elle est l’instance qui détermine si un médicament peut être administré à un patient, si un fabricant répond aux normes de qualité requises, si un produit circulant sur le marché est authentique ou falsifié. En ce sens, son niveau de performan</w:t>
      </w:r>
      <w:r w:rsidRPr="00564A67">
        <w:rPr>
          <w:rFonts w:ascii="Aptos" w:hAnsi="Aptos"/>
          <w:sz w:val="24"/>
          <w:szCs w:val="24"/>
          <w:lang w:val="fr-FR"/>
        </w:rPr>
        <w:t>ce a des conséquences directes sur la santé des populations.</w:t>
      </w:r>
    </w:p>
    <w:p w14:paraId="17FC2CF5"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Or, dans de nombreux pays africains, les autorités réglementaires pharmaceutiques font face à des défis structurels majeurs : ressources humaines insuffisantes, capacités techniques limitées, pro</w:t>
      </w:r>
      <w:r w:rsidRPr="00564A67">
        <w:rPr>
          <w:rFonts w:ascii="Aptos" w:hAnsi="Aptos"/>
          <w:sz w:val="24"/>
          <w:szCs w:val="24"/>
          <w:lang w:val="fr-FR"/>
        </w:rPr>
        <w:t>cessus administratifs lourds, faible interopérabilité des systèmes d’information et difficultés à s’aligner sur les standards internationaux. Selon l’Organisation mondiale de la Santé, moins de 30 % des pays africains disposent d’une autorité réglementaire</w:t>
      </w:r>
      <w:r w:rsidRPr="00564A67">
        <w:rPr>
          <w:rFonts w:ascii="Aptos" w:hAnsi="Aptos"/>
          <w:sz w:val="24"/>
          <w:szCs w:val="24"/>
          <w:lang w:val="fr-FR"/>
        </w:rPr>
        <w:t xml:space="preserve"> pharmaceutique fonctionnant à un niveau de maturité satisfaisant selon les critères évalués [1]. Ce déficit de capacité réglementaire a un coût humain réel : il expose les populations aux produits de qualité inférieure, ralentit l’accès aux médicaments es</w:t>
      </w:r>
      <w:r w:rsidRPr="00564A67">
        <w:rPr>
          <w:rFonts w:ascii="Aptos" w:hAnsi="Aptos"/>
          <w:sz w:val="24"/>
          <w:szCs w:val="24"/>
          <w:lang w:val="fr-FR"/>
        </w:rPr>
        <w:t>sentiels et fragilise la confiance dans le système de santé.</w:t>
      </w:r>
    </w:p>
    <w:p w14:paraId="40557817"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Cinq transformations sont aujourd’hui indispensables pour que les autorités nationales du médicament africaines puissent jouer pleinement leur rôle.</w:t>
      </w:r>
    </w:p>
    <w:p w14:paraId="29ECCFF7" w14:textId="77777777" w:rsidR="0063256E" w:rsidRPr="00564A67" w:rsidRDefault="00564A67" w:rsidP="00564A67">
      <w:pPr>
        <w:pStyle w:val="Titre2"/>
        <w:jc w:val="both"/>
        <w:rPr>
          <w:rFonts w:ascii="Aptos" w:hAnsi="Aptos"/>
          <w:color w:val="C45911" w:themeColor="accent2" w:themeShade="BF"/>
          <w:lang w:val="fr-FR"/>
        </w:rPr>
      </w:pPr>
      <w:r w:rsidRPr="00564A67">
        <w:rPr>
          <w:rFonts w:ascii="Aptos" w:hAnsi="Aptos"/>
          <w:color w:val="C45911" w:themeColor="accent2" w:themeShade="BF"/>
          <w:lang w:val="fr-FR"/>
        </w:rPr>
        <w:t>Transformation 1 — Moderniser les processus d’</w:t>
      </w:r>
      <w:r w:rsidRPr="00564A67">
        <w:rPr>
          <w:rFonts w:ascii="Aptos" w:hAnsi="Aptos"/>
          <w:color w:val="C45911" w:themeColor="accent2" w:themeShade="BF"/>
          <w:lang w:val="fr-FR"/>
        </w:rPr>
        <w:t>enregistrement et d’homologation</w:t>
      </w:r>
    </w:p>
    <w:p w14:paraId="7CF306C0"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L’enregistrement des médicaments est souvent le premier point de friction entre les autorités réglementaires et les acteurs du marché pharmaceutique. Des délais excessifs — parfois plusieurs années — pour obtenir une autori</w:t>
      </w:r>
      <w:r w:rsidRPr="00564A67">
        <w:rPr>
          <w:rFonts w:ascii="Aptos" w:hAnsi="Aptos"/>
          <w:sz w:val="24"/>
          <w:szCs w:val="24"/>
          <w:lang w:val="fr-FR"/>
        </w:rPr>
        <w:t>sation de mise sur le marché retardent l’accès des populations à des traitements efficaces, découragent les investissements pharmaceutiques et poussent certains acteurs vers des circuits informels. Ces délais ne résultent pas toujours d’une mauvaise volont</w:t>
      </w:r>
      <w:r w:rsidRPr="00564A67">
        <w:rPr>
          <w:rFonts w:ascii="Aptos" w:hAnsi="Aptos"/>
          <w:sz w:val="24"/>
          <w:szCs w:val="24"/>
          <w:lang w:val="fr-FR"/>
        </w:rPr>
        <w:t>é institutionnelle — ils sont souvent le symptome de processus manuels, de flux de documentation non structurés et d’un manque de systèmes numériques adaptés.</w:t>
      </w:r>
    </w:p>
    <w:p w14:paraId="1256F3A8"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La modernisation des processus d’enregistrement passe par la digitalisation des dossiers, la mise</w:t>
      </w:r>
      <w:r w:rsidRPr="00564A67">
        <w:rPr>
          <w:rFonts w:ascii="Aptos" w:hAnsi="Aptos"/>
          <w:sz w:val="24"/>
          <w:szCs w:val="24"/>
          <w:lang w:val="fr-FR"/>
        </w:rPr>
        <w:t xml:space="preserve"> en place de plateformes de soumission électronique, la standardisation des formats de documentation et l’adoption de procédures accélérées pour les médicaments essentiels et les produits déjà approuvés par des agences de référence reconnues. L’Agence afri</w:t>
      </w:r>
      <w:r w:rsidRPr="00564A67">
        <w:rPr>
          <w:rFonts w:ascii="Aptos" w:hAnsi="Aptos"/>
          <w:sz w:val="24"/>
          <w:szCs w:val="24"/>
          <w:lang w:val="fr-FR"/>
        </w:rPr>
        <w:t>caine du médicament, dont la création vise précisément à harmoniser ces processus à l’échelle continentale, constitue à cet égard une opportunité historique pour les pays africains [2].</w:t>
      </w:r>
    </w:p>
    <w:p w14:paraId="2CCE29E8" w14:textId="77777777" w:rsidR="0063256E" w:rsidRPr="00564A67" w:rsidRDefault="00564A67" w:rsidP="00564A67">
      <w:pPr>
        <w:pStyle w:val="Titre2"/>
        <w:jc w:val="both"/>
        <w:rPr>
          <w:rFonts w:ascii="Aptos" w:hAnsi="Aptos"/>
          <w:color w:val="C45911" w:themeColor="accent2" w:themeShade="BF"/>
          <w:lang w:val="fr-FR"/>
        </w:rPr>
      </w:pPr>
      <w:r w:rsidRPr="00564A67">
        <w:rPr>
          <w:rFonts w:ascii="Aptos" w:hAnsi="Aptos"/>
          <w:color w:val="C45911" w:themeColor="accent2" w:themeShade="BF"/>
          <w:lang w:val="fr-FR"/>
        </w:rPr>
        <w:t>Transformation 2 — Renforcer la surveillance du marché pharmaceutique</w:t>
      </w:r>
    </w:p>
    <w:p w14:paraId="7C2A73C2"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L’enregistrement d’un médicament n’est pas une fin en soi — c’est le début d’une responsabilité de surveillance continue. Or, la pharmacovigilance et le contrôle post-commercialisation restent des maillons faibles dans la plupart des systèmes réglementaire</w:t>
      </w:r>
      <w:r w:rsidRPr="00564A67">
        <w:rPr>
          <w:rFonts w:ascii="Aptos" w:hAnsi="Aptos"/>
          <w:sz w:val="24"/>
          <w:szCs w:val="24"/>
          <w:lang w:val="fr-FR"/>
        </w:rPr>
        <w:t xml:space="preserve">s africains. Les mécanismes de notification des effets indésirables sont </w:t>
      </w:r>
      <w:r w:rsidRPr="00564A67">
        <w:rPr>
          <w:rFonts w:ascii="Aptos" w:hAnsi="Aptos"/>
          <w:sz w:val="24"/>
          <w:szCs w:val="24"/>
          <w:lang w:val="fr-FR"/>
        </w:rPr>
        <w:lastRenderedPageBreak/>
        <w:t>peu développés, les inspections pharmaceutiques manquent de régularité et les capacités des laboratoires nationaux de contrôle qualité sont souvent insuffisantes pour absorber le volu</w:t>
      </w:r>
      <w:r w:rsidRPr="00564A67">
        <w:rPr>
          <w:rFonts w:ascii="Aptos" w:hAnsi="Aptos"/>
          <w:sz w:val="24"/>
          <w:szCs w:val="24"/>
          <w:lang w:val="fr-FR"/>
        </w:rPr>
        <w:t>me de produits à analyser.</w:t>
      </w:r>
    </w:p>
    <w:p w14:paraId="03A7C873"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Renforcer la surveillance du marché suppose d’investir dans les capacités analytiques des laboratoires, de développer des systèmes de pharmacovigilance numériques, de former les professionnels de santé à la notification et de cré</w:t>
      </w:r>
      <w:r w:rsidRPr="00564A67">
        <w:rPr>
          <w:rFonts w:ascii="Aptos" w:hAnsi="Aptos"/>
          <w:sz w:val="24"/>
          <w:szCs w:val="24"/>
          <w:lang w:val="fr-FR"/>
        </w:rPr>
        <w:t>er des mécanismes d’alerte rapide permettant d’intervenir avant qu’un produit dangereux ne se répande. Ces capacités sont la condition d’une autorité réglementaire véritablement proactive.</w:t>
      </w:r>
    </w:p>
    <w:p w14:paraId="56C197B4" w14:textId="77777777" w:rsidR="0063256E" w:rsidRPr="00564A67" w:rsidRDefault="00564A67" w:rsidP="00564A67">
      <w:pPr>
        <w:pStyle w:val="Titre2"/>
        <w:jc w:val="both"/>
        <w:rPr>
          <w:rFonts w:ascii="Aptos" w:hAnsi="Aptos"/>
          <w:color w:val="C45911" w:themeColor="accent2" w:themeShade="BF"/>
          <w:lang w:val="fr-FR"/>
        </w:rPr>
      </w:pPr>
      <w:r w:rsidRPr="00564A67">
        <w:rPr>
          <w:rFonts w:ascii="Aptos" w:hAnsi="Aptos"/>
          <w:color w:val="C45911" w:themeColor="accent2" w:themeShade="BF"/>
          <w:lang w:val="fr-FR"/>
        </w:rPr>
        <w:t>Transformation 3 — Déployer des systèmes de traçabilité pharmaceuti</w:t>
      </w:r>
      <w:r w:rsidRPr="00564A67">
        <w:rPr>
          <w:rFonts w:ascii="Aptos" w:hAnsi="Aptos"/>
          <w:color w:val="C45911" w:themeColor="accent2" w:themeShade="BF"/>
          <w:lang w:val="fr-FR"/>
        </w:rPr>
        <w:t>que</w:t>
      </w:r>
    </w:p>
    <w:p w14:paraId="5BE5A982"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La traçabilité pharmaceutique est l’un des outils les plus puissants dont dispose une autorité réglementaire pour exercer son contrôle sur le marché. En permettant de suivre chaque produit depuis sa fabrication jusqu’à sa dispensation, elle offre une v</w:t>
      </w:r>
      <w:r w:rsidRPr="00564A67">
        <w:rPr>
          <w:rFonts w:ascii="Aptos" w:hAnsi="Aptos"/>
          <w:sz w:val="24"/>
          <w:szCs w:val="24"/>
          <w:lang w:val="fr-FR"/>
        </w:rPr>
        <w:t>isibilité inédite sur les circuits de distribution, facilite la détection des produits falsifiés ou de qualité inférieure, et renforce la capacité d’intervention en cas d’alerte sanitaire.</w:t>
      </w:r>
    </w:p>
    <w:p w14:paraId="14A4C742"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Des standards internationaux éprouvés, comme ceux de GS1 Healthcare</w:t>
      </w:r>
      <w:r w:rsidRPr="00564A67">
        <w:rPr>
          <w:rFonts w:ascii="Aptos" w:hAnsi="Aptos"/>
          <w:sz w:val="24"/>
          <w:szCs w:val="24"/>
          <w:lang w:val="fr-FR"/>
        </w:rPr>
        <w:t>, offrent des cadres de référence reconnus pour le déploiement de ces systèmes [3]. Plusieurs pays africains ont déjà engagé cette transition avec des résultats encourageants en termes de détection des produits non conformes et d’amélioration de la gouvern</w:t>
      </w:r>
      <w:r w:rsidRPr="00564A67">
        <w:rPr>
          <w:rFonts w:ascii="Aptos" w:hAnsi="Aptos"/>
          <w:sz w:val="24"/>
          <w:szCs w:val="24"/>
          <w:lang w:val="fr-FR"/>
        </w:rPr>
        <w:t>ance pharmaceutique. La traçabilité n’est pas un luxe réservé aux pays à revenus élevés : elle est une nécessité stratégique pour tout pays qui souhaite exercer une souveraineté réelle sur son marché pharmaceutique.</w:t>
      </w:r>
    </w:p>
    <w:p w14:paraId="107CD917" w14:textId="77777777" w:rsidR="0063256E" w:rsidRPr="00564A67" w:rsidRDefault="00564A67" w:rsidP="00564A67">
      <w:pPr>
        <w:pStyle w:val="Titre2"/>
        <w:jc w:val="both"/>
        <w:rPr>
          <w:rFonts w:ascii="Aptos" w:hAnsi="Aptos"/>
          <w:color w:val="C45911" w:themeColor="accent2" w:themeShade="BF"/>
          <w:lang w:val="fr-FR"/>
        </w:rPr>
      </w:pPr>
      <w:r w:rsidRPr="00564A67">
        <w:rPr>
          <w:rFonts w:ascii="Aptos" w:hAnsi="Aptos"/>
          <w:color w:val="C45911" w:themeColor="accent2" w:themeShade="BF"/>
          <w:lang w:val="fr-FR"/>
        </w:rPr>
        <w:t>Transformation 4 — S’intégrer dans les r</w:t>
      </w:r>
      <w:r w:rsidRPr="00564A67">
        <w:rPr>
          <w:rFonts w:ascii="Aptos" w:hAnsi="Aptos"/>
          <w:color w:val="C45911" w:themeColor="accent2" w:themeShade="BF"/>
          <w:lang w:val="fr-FR"/>
        </w:rPr>
        <w:t>éseaux réglementaires continentaux et internationaux</w:t>
      </w:r>
    </w:p>
    <w:p w14:paraId="20A0FDFB"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Aucune autorité nationale du médicament ne peut fonctionner efficacement en vase clos. Dans un contexte où les produits pharmaceutiques circulent à l’échelle mondiale et où les enjeux de sécurité sanitai</w:t>
      </w:r>
      <w:r w:rsidRPr="00564A67">
        <w:rPr>
          <w:rFonts w:ascii="Aptos" w:hAnsi="Aptos"/>
          <w:sz w:val="24"/>
          <w:szCs w:val="24"/>
          <w:lang w:val="fr-FR"/>
        </w:rPr>
        <w:t>re ne connaissent pas de frontières, la coopération réglementaire est devenue une nécessité stratégique. Les initiatives régionales — comme le Programme de coopération réglementaire pharmaceutique de l’Union africaine ou le cadre d’harmonisation de l’ECOWA</w:t>
      </w:r>
      <w:r w:rsidRPr="00564A67">
        <w:rPr>
          <w:rFonts w:ascii="Aptos" w:hAnsi="Aptos"/>
          <w:sz w:val="24"/>
          <w:szCs w:val="24"/>
          <w:lang w:val="fr-FR"/>
        </w:rPr>
        <w:t>S — offrent des opportunités concrètes de partage d’expertise, de mutualisation des évaluations et de renforcement collectif des capacités.</w:t>
      </w:r>
    </w:p>
    <w:p w14:paraId="5B3C499E"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L’Agence africaine du médicament (AMA), dont la mise en place progressive est en cours, représente une avancée majeu</w:t>
      </w:r>
      <w:r w:rsidRPr="00564A67">
        <w:rPr>
          <w:rFonts w:ascii="Aptos" w:hAnsi="Aptos"/>
          <w:sz w:val="24"/>
          <w:szCs w:val="24"/>
          <w:lang w:val="fr-FR"/>
        </w:rPr>
        <w:t>re dans cette direction [2]. Les autorités nationales qui s’intègrent activement dans ces réseaux bénéficient d’un accès élargi aux données réglementaires, d’une crédibilité renforcée sur la scène internationale et d’une capacité accrue à négocier avec les</w:t>
      </w:r>
      <w:r w:rsidRPr="00564A67">
        <w:rPr>
          <w:rFonts w:ascii="Aptos" w:hAnsi="Aptos"/>
          <w:sz w:val="24"/>
          <w:szCs w:val="24"/>
          <w:lang w:val="fr-FR"/>
        </w:rPr>
        <w:t xml:space="preserve"> fabricants mondiaux.</w:t>
      </w:r>
    </w:p>
    <w:p w14:paraId="32E11E85" w14:textId="77777777" w:rsidR="0063256E" w:rsidRPr="00564A67" w:rsidRDefault="00564A67" w:rsidP="00564A67">
      <w:pPr>
        <w:pStyle w:val="Titre2"/>
        <w:jc w:val="both"/>
        <w:rPr>
          <w:rFonts w:ascii="Aptos" w:hAnsi="Aptos"/>
          <w:color w:val="C45911" w:themeColor="accent2" w:themeShade="BF"/>
          <w:lang w:val="fr-FR"/>
        </w:rPr>
      </w:pPr>
      <w:r w:rsidRPr="00564A67">
        <w:rPr>
          <w:rFonts w:ascii="Aptos" w:hAnsi="Aptos"/>
          <w:color w:val="C45911" w:themeColor="accent2" w:themeShade="BF"/>
          <w:lang w:val="fr-FR"/>
        </w:rPr>
        <w:t>Transformation 5 — Développer des ressources humaines spécialisées et stables</w:t>
      </w:r>
    </w:p>
    <w:p w14:paraId="015CB248"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Derrière chaque système réglementaire performant, il y a des hommes et des femmes compétents, motivés et stables dans leurs fonctions. C’est la dimension la</w:t>
      </w:r>
      <w:r w:rsidRPr="00564A67">
        <w:rPr>
          <w:rFonts w:ascii="Aptos" w:hAnsi="Aptos"/>
          <w:sz w:val="24"/>
          <w:szCs w:val="24"/>
          <w:lang w:val="fr-FR"/>
        </w:rPr>
        <w:t xml:space="preserve"> plus fondamentale — et souvent la plus négligée — du renforcement des autorités réglementaires africaines. Le turn-over élevé des experts formés, attirés par le secteur </w:t>
      </w:r>
      <w:r w:rsidRPr="00564A67">
        <w:rPr>
          <w:rFonts w:ascii="Aptos" w:hAnsi="Aptos"/>
          <w:sz w:val="24"/>
          <w:szCs w:val="24"/>
          <w:lang w:val="fr-FR"/>
        </w:rPr>
        <w:lastRenderedPageBreak/>
        <w:t>privé ou les organisations internationales, et la difficulté à maintenir des équipes t</w:t>
      </w:r>
      <w:r w:rsidRPr="00564A67">
        <w:rPr>
          <w:rFonts w:ascii="Aptos" w:hAnsi="Aptos"/>
          <w:sz w:val="24"/>
          <w:szCs w:val="24"/>
          <w:lang w:val="fr-FR"/>
        </w:rPr>
        <w:t>echniques spécialisées dans la durée constituent des défis structurels majeurs.</w:t>
      </w:r>
    </w:p>
    <w:p w14:paraId="5C301F17"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Investir dans le développement et la rétention des ressources humaines réglementaires — par des programmes de formation continue, des parcours de carrière valorisants et des co</w:t>
      </w:r>
      <w:r w:rsidRPr="00564A67">
        <w:rPr>
          <w:rFonts w:ascii="Aptos" w:hAnsi="Aptos"/>
          <w:sz w:val="24"/>
          <w:szCs w:val="24"/>
          <w:lang w:val="fr-FR"/>
        </w:rPr>
        <w:t>nditions de travail compétitives — est une condition sine qua non de la durabilité de toute réforme réglementaire. Une autorité qui perd ses experts perd aussi sa mémoire institutionnelle et sa capacité à faire évoluer ses pratiques dans la durée.</w:t>
      </w:r>
    </w:p>
    <w:p w14:paraId="3D259245" w14:textId="77777777" w:rsidR="0063256E" w:rsidRPr="00564A67" w:rsidRDefault="00564A67" w:rsidP="00564A67">
      <w:pPr>
        <w:pStyle w:val="Titre2"/>
        <w:jc w:val="both"/>
        <w:rPr>
          <w:rFonts w:ascii="Aptos" w:hAnsi="Aptos"/>
          <w:color w:val="C45911" w:themeColor="accent2" w:themeShade="BF"/>
          <w:lang w:val="fr-FR"/>
        </w:rPr>
      </w:pPr>
      <w:r w:rsidRPr="00564A67">
        <w:rPr>
          <w:rFonts w:ascii="Aptos" w:hAnsi="Aptos"/>
          <w:color w:val="C45911" w:themeColor="accent2" w:themeShade="BF"/>
          <w:lang w:val="fr-FR"/>
        </w:rPr>
        <w:t>Ce que S</w:t>
      </w:r>
      <w:r w:rsidRPr="00564A67">
        <w:rPr>
          <w:rFonts w:ascii="Aptos" w:hAnsi="Aptos"/>
          <w:color w:val="C45911" w:themeColor="accent2" w:themeShade="BF"/>
          <w:lang w:val="fr-FR"/>
        </w:rPr>
        <w:t>aniNova apporte aux autorités réglementaires</w:t>
      </w:r>
    </w:p>
    <w:p w14:paraId="656928FF"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SaniNova accompagne les autorités nationales du médicament dans leur parcours de transformation : évaluation de la maturité réglementaire, conception de plans de renforcement institutionnel, appui au déploiement</w:t>
      </w:r>
      <w:r w:rsidRPr="00564A67">
        <w:rPr>
          <w:rFonts w:ascii="Aptos" w:hAnsi="Aptos"/>
          <w:sz w:val="24"/>
          <w:szCs w:val="24"/>
          <w:lang w:val="fr-FR"/>
        </w:rPr>
        <w:t xml:space="preserve"> des systèmes de traçabilité, digitalisation des processus d’enregistrement et de surveillance, formation des équipes et facilitation de l’intégration dans les réseaux réglementaires régionaux et internationaux.</w:t>
      </w:r>
    </w:p>
    <w:p w14:paraId="0E56A6DE" w14:textId="77777777" w:rsidR="0063256E" w:rsidRPr="00564A67" w:rsidRDefault="00564A67" w:rsidP="00564A67">
      <w:pPr>
        <w:spacing w:after="180"/>
        <w:jc w:val="both"/>
        <w:rPr>
          <w:rFonts w:ascii="Aptos" w:hAnsi="Aptos"/>
          <w:sz w:val="24"/>
          <w:szCs w:val="24"/>
          <w:lang w:val="fr-FR"/>
        </w:rPr>
      </w:pPr>
      <w:r w:rsidRPr="00564A67">
        <w:rPr>
          <w:rFonts w:ascii="Aptos" w:hAnsi="Aptos"/>
          <w:sz w:val="24"/>
          <w:szCs w:val="24"/>
          <w:lang w:val="fr-FR"/>
        </w:rPr>
        <w:t>Nous croyons qu’une autorité réglementaire f</w:t>
      </w:r>
      <w:r w:rsidRPr="00564A67">
        <w:rPr>
          <w:rFonts w:ascii="Aptos" w:hAnsi="Aptos"/>
          <w:sz w:val="24"/>
          <w:szCs w:val="24"/>
          <w:lang w:val="fr-FR"/>
        </w:rPr>
        <w:t>orte est le fondement d’un marché pharmaceutique sécurisé, d’une industrie locale compétitive et d’une population protégée. C’est cette conviction qui guide notre engagement auprès de nos partenaires réglementaires à travers le continent.</w:t>
      </w:r>
    </w:p>
    <w:p w14:paraId="34EDAE09" w14:textId="77777777" w:rsidR="00564A67" w:rsidRDefault="00564A67" w:rsidP="00564A67">
      <w:pPr>
        <w:spacing w:before="120" w:after="120"/>
        <w:jc w:val="both"/>
        <w:rPr>
          <w:rFonts w:ascii="Aptos" w:hAnsi="Aptos"/>
          <w:b/>
          <w:bCs/>
          <w:color w:val="333333"/>
          <w:sz w:val="20"/>
          <w:szCs w:val="20"/>
        </w:rPr>
      </w:pPr>
    </w:p>
    <w:p w14:paraId="6039C1AB" w14:textId="45464C66" w:rsidR="0063256E" w:rsidRPr="00564A67" w:rsidRDefault="00564A67" w:rsidP="00564A67">
      <w:pPr>
        <w:spacing w:before="120" w:after="120"/>
        <w:jc w:val="both"/>
        <w:rPr>
          <w:rFonts w:ascii="Aptos" w:hAnsi="Aptos"/>
          <w:sz w:val="20"/>
          <w:szCs w:val="20"/>
        </w:rPr>
      </w:pPr>
      <w:r w:rsidRPr="00564A67">
        <w:rPr>
          <w:rFonts w:ascii="Aptos" w:hAnsi="Aptos"/>
          <w:b/>
          <w:bCs/>
          <w:color w:val="333333"/>
          <w:sz w:val="20"/>
          <w:szCs w:val="20"/>
        </w:rPr>
        <w:t>Références bibli</w:t>
      </w:r>
      <w:r w:rsidRPr="00564A67">
        <w:rPr>
          <w:rFonts w:ascii="Aptos" w:hAnsi="Aptos"/>
          <w:b/>
          <w:bCs/>
          <w:color w:val="333333"/>
          <w:sz w:val="20"/>
          <w:szCs w:val="20"/>
        </w:rPr>
        <w:t>ographiques</w:t>
      </w:r>
    </w:p>
    <w:p w14:paraId="22C7ACEB" w14:textId="77777777" w:rsidR="0063256E" w:rsidRPr="00564A67" w:rsidRDefault="00564A67" w:rsidP="00564A67">
      <w:pPr>
        <w:pStyle w:val="Paragraphedeliste"/>
        <w:numPr>
          <w:ilvl w:val="0"/>
          <w:numId w:val="2"/>
        </w:numPr>
        <w:spacing w:after="80"/>
        <w:jc w:val="both"/>
        <w:rPr>
          <w:rFonts w:ascii="Aptos" w:hAnsi="Aptos"/>
          <w:sz w:val="20"/>
          <w:szCs w:val="20"/>
        </w:rPr>
      </w:pPr>
      <w:r w:rsidRPr="00564A67">
        <w:rPr>
          <w:rFonts w:ascii="Aptos" w:hAnsi="Aptos"/>
          <w:color w:val="555555"/>
          <w:sz w:val="20"/>
          <w:szCs w:val="20"/>
        </w:rPr>
        <w:t>World Health Organization (WHO). WHO Global Benchmarking Tool for Evaluation of National Regulatory Systems of Medical Products. Geneva : WHO, 2021.</w:t>
      </w:r>
    </w:p>
    <w:p w14:paraId="61416725" w14:textId="77777777" w:rsidR="0063256E" w:rsidRPr="00564A67" w:rsidRDefault="00564A67" w:rsidP="00564A67">
      <w:pPr>
        <w:pStyle w:val="Paragraphedeliste"/>
        <w:numPr>
          <w:ilvl w:val="0"/>
          <w:numId w:val="2"/>
        </w:numPr>
        <w:spacing w:after="80"/>
        <w:jc w:val="both"/>
        <w:rPr>
          <w:rFonts w:ascii="Aptos" w:hAnsi="Aptos"/>
          <w:sz w:val="20"/>
          <w:szCs w:val="20"/>
        </w:rPr>
      </w:pPr>
      <w:r w:rsidRPr="00564A67">
        <w:rPr>
          <w:rFonts w:ascii="Aptos" w:hAnsi="Aptos"/>
          <w:color w:val="555555"/>
          <w:sz w:val="20"/>
          <w:szCs w:val="20"/>
        </w:rPr>
        <w:t>African Union. African Medicines Agency (AMA): Treaty and Implementation Framework. Addis Ababa : African Union, 2023.</w:t>
      </w:r>
    </w:p>
    <w:p w14:paraId="251EE3FD" w14:textId="77777777" w:rsidR="0063256E" w:rsidRPr="00564A67" w:rsidRDefault="00564A67" w:rsidP="00564A67">
      <w:pPr>
        <w:pStyle w:val="Paragraphedeliste"/>
        <w:numPr>
          <w:ilvl w:val="0"/>
          <w:numId w:val="2"/>
        </w:numPr>
        <w:spacing w:after="80"/>
        <w:jc w:val="both"/>
        <w:rPr>
          <w:rFonts w:ascii="Aptos" w:hAnsi="Aptos"/>
          <w:sz w:val="20"/>
          <w:szCs w:val="20"/>
        </w:rPr>
      </w:pPr>
      <w:r w:rsidRPr="00564A67">
        <w:rPr>
          <w:rFonts w:ascii="Aptos" w:hAnsi="Aptos"/>
          <w:color w:val="555555"/>
          <w:sz w:val="20"/>
          <w:szCs w:val="20"/>
        </w:rPr>
        <w:t>GS1 Healthcare. Global Standards for Healthcare Supply Chain Traceability. Brussels : GS1 Healthcare, 2023.</w:t>
      </w:r>
    </w:p>
    <w:sectPr w:rsidR="0063256E" w:rsidRPr="00564A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B1556"/>
    <w:multiLevelType w:val="hybridMultilevel"/>
    <w:tmpl w:val="9586D170"/>
    <w:lvl w:ilvl="0" w:tplc="2B1670B6">
      <w:start w:val="1"/>
      <w:numFmt w:val="bullet"/>
      <w:lvlText w:val="●"/>
      <w:lvlJc w:val="left"/>
      <w:pPr>
        <w:ind w:left="720" w:hanging="360"/>
      </w:pPr>
    </w:lvl>
    <w:lvl w:ilvl="1" w:tplc="73C6D9BC">
      <w:start w:val="1"/>
      <w:numFmt w:val="bullet"/>
      <w:lvlText w:val="○"/>
      <w:lvlJc w:val="left"/>
      <w:pPr>
        <w:ind w:left="1440" w:hanging="360"/>
      </w:pPr>
    </w:lvl>
    <w:lvl w:ilvl="2" w:tplc="8432F74E">
      <w:start w:val="1"/>
      <w:numFmt w:val="bullet"/>
      <w:lvlText w:val="■"/>
      <w:lvlJc w:val="left"/>
      <w:pPr>
        <w:ind w:left="2160" w:hanging="360"/>
      </w:pPr>
    </w:lvl>
    <w:lvl w:ilvl="3" w:tplc="35382004">
      <w:start w:val="1"/>
      <w:numFmt w:val="bullet"/>
      <w:lvlText w:val="●"/>
      <w:lvlJc w:val="left"/>
      <w:pPr>
        <w:ind w:left="2880" w:hanging="360"/>
      </w:pPr>
    </w:lvl>
    <w:lvl w:ilvl="4" w:tplc="84262F6C">
      <w:start w:val="1"/>
      <w:numFmt w:val="bullet"/>
      <w:lvlText w:val="○"/>
      <w:lvlJc w:val="left"/>
      <w:pPr>
        <w:ind w:left="3600" w:hanging="360"/>
      </w:pPr>
    </w:lvl>
    <w:lvl w:ilvl="5" w:tplc="A91403F6">
      <w:start w:val="1"/>
      <w:numFmt w:val="bullet"/>
      <w:lvlText w:val="■"/>
      <w:lvlJc w:val="left"/>
      <w:pPr>
        <w:ind w:left="4320" w:hanging="360"/>
      </w:pPr>
    </w:lvl>
    <w:lvl w:ilvl="6" w:tplc="344464DE">
      <w:start w:val="1"/>
      <w:numFmt w:val="bullet"/>
      <w:lvlText w:val="●"/>
      <w:lvlJc w:val="left"/>
      <w:pPr>
        <w:ind w:left="5040" w:hanging="360"/>
      </w:pPr>
    </w:lvl>
    <w:lvl w:ilvl="7" w:tplc="088C5120">
      <w:start w:val="1"/>
      <w:numFmt w:val="bullet"/>
      <w:lvlText w:val="●"/>
      <w:lvlJc w:val="left"/>
      <w:pPr>
        <w:ind w:left="5760" w:hanging="360"/>
      </w:pPr>
    </w:lvl>
    <w:lvl w:ilvl="8" w:tplc="B688FDC8">
      <w:start w:val="1"/>
      <w:numFmt w:val="bullet"/>
      <w:lvlText w:val="●"/>
      <w:lvlJc w:val="left"/>
      <w:pPr>
        <w:ind w:left="6480" w:hanging="360"/>
      </w:pPr>
    </w:lvl>
  </w:abstractNum>
  <w:abstractNum w:abstractNumId="1" w15:restartNumberingAfterBreak="0">
    <w:nsid w:val="49C9795E"/>
    <w:multiLevelType w:val="hybridMultilevel"/>
    <w:tmpl w:val="B910170E"/>
    <w:lvl w:ilvl="0" w:tplc="C090E09A">
      <w:start w:val="1"/>
      <w:numFmt w:val="decimal"/>
      <w:lvlText w:val="[%1]"/>
      <w:lvlJc w:val="left"/>
      <w:pPr>
        <w:ind w:left="540" w:hanging="360"/>
      </w:pPr>
    </w:lvl>
    <w:lvl w:ilvl="1" w:tplc="FA786D0C">
      <w:numFmt w:val="decimal"/>
      <w:lvlText w:val=""/>
      <w:lvlJc w:val="left"/>
    </w:lvl>
    <w:lvl w:ilvl="2" w:tplc="F9340C28">
      <w:numFmt w:val="decimal"/>
      <w:lvlText w:val=""/>
      <w:lvlJc w:val="left"/>
    </w:lvl>
    <w:lvl w:ilvl="3" w:tplc="DEA612E6">
      <w:numFmt w:val="decimal"/>
      <w:lvlText w:val=""/>
      <w:lvlJc w:val="left"/>
    </w:lvl>
    <w:lvl w:ilvl="4" w:tplc="54A6C7D2">
      <w:numFmt w:val="decimal"/>
      <w:lvlText w:val=""/>
      <w:lvlJc w:val="left"/>
    </w:lvl>
    <w:lvl w:ilvl="5" w:tplc="668684AA">
      <w:numFmt w:val="decimal"/>
      <w:lvlText w:val=""/>
      <w:lvlJc w:val="left"/>
    </w:lvl>
    <w:lvl w:ilvl="6" w:tplc="EC82DBA0">
      <w:numFmt w:val="decimal"/>
      <w:lvlText w:val=""/>
      <w:lvlJc w:val="left"/>
    </w:lvl>
    <w:lvl w:ilvl="7" w:tplc="3A10CA8C">
      <w:numFmt w:val="decimal"/>
      <w:lvlText w:val=""/>
      <w:lvlJc w:val="left"/>
    </w:lvl>
    <w:lvl w:ilvl="8" w:tplc="EAC4000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56E"/>
    <w:rsid w:val="00564A67"/>
    <w:rsid w:val="00632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06A6"/>
  <w15:docId w15:val="{2A851629-57E4-4526-A36F-677006027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2026-05-18T07:13:00Z</dcterms:created>
  <dcterms:modified xsi:type="dcterms:W3CDTF">2026-05-18T07:17:00Z</dcterms:modified>
</cp:coreProperties>
</file>