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C678F" w14:textId="77777777" w:rsidR="00307693" w:rsidRPr="00D60D1F" w:rsidRDefault="00547B92" w:rsidP="00D60D1F">
      <w:pPr>
        <w:pStyle w:val="Titre1"/>
        <w:jc w:val="both"/>
        <w:rPr>
          <w:rFonts w:ascii="Aptos" w:hAnsi="Aptos"/>
        </w:rPr>
      </w:pPr>
      <w:r w:rsidRPr="00D60D1F">
        <w:rPr>
          <w:rFonts w:ascii="Aptos" w:hAnsi="Aptos"/>
        </w:rPr>
        <w:t>Partenaires techniques et financiers en santé : comment maximiser l’impact et la durabilité de vos investissements en Afrique</w:t>
      </w:r>
    </w:p>
    <w:p w14:paraId="4D3DA3CD" w14:textId="77777777" w:rsidR="00307693" w:rsidRPr="00D60D1F" w:rsidRDefault="00547B92" w:rsidP="00D60D1F">
      <w:pPr>
        <w:spacing w:after="180"/>
        <w:jc w:val="both"/>
        <w:rPr>
          <w:rFonts w:ascii="Aptos" w:hAnsi="Aptos"/>
        </w:rPr>
      </w:pPr>
      <w:r w:rsidRPr="00D60D1F">
        <w:rPr>
          <w:rFonts w:ascii="Aptos" w:hAnsi="Aptos"/>
        </w:rPr>
        <w:t>Les partenaires techniques et financiers ont investi des milliards de dollars dans les systèmes de santé africains au cours des deux dernières décennies. Des programmes ambitieux ont été lancés, des infrastructures construites, des systèmes déployés, des m</w:t>
      </w:r>
      <w:r w:rsidRPr="00D60D1F">
        <w:rPr>
          <w:rFonts w:ascii="Aptos" w:hAnsi="Aptos"/>
        </w:rPr>
        <w:t>illiers de professionnels formés. Ces efforts ont produit des avancées réelles et mesurables — sur la mortalité infantile, la lutte contre le VIH, le paludisme ou la tuberculose.</w:t>
      </w:r>
    </w:p>
    <w:p w14:paraId="50C1DAEB" w14:textId="77777777" w:rsidR="00307693" w:rsidRPr="00D60D1F" w:rsidRDefault="00547B92" w:rsidP="00D60D1F">
      <w:pPr>
        <w:spacing w:after="180"/>
        <w:jc w:val="both"/>
        <w:rPr>
          <w:rFonts w:ascii="Aptos" w:hAnsi="Aptos"/>
        </w:rPr>
      </w:pPr>
      <w:r w:rsidRPr="00D60D1F">
        <w:rPr>
          <w:rFonts w:ascii="Aptos" w:hAnsi="Aptos"/>
        </w:rPr>
        <w:t xml:space="preserve">Pourtant, une question persiste, posée avec une franchise croissante par les </w:t>
      </w:r>
      <w:r w:rsidRPr="00D60D1F">
        <w:rPr>
          <w:rFonts w:ascii="Aptos" w:hAnsi="Aptos"/>
        </w:rPr>
        <w:t>évaluateurs indépendants, les auditeurs institutionnels et les partenaires eux-mêmes : pourquoi tant de programmes bien financés et bien conçus peinent-ils à produire des effets durables une fois le financement extérieur retiré ? Selon plusieurs évaluation</w:t>
      </w:r>
      <w:r w:rsidRPr="00D60D1F">
        <w:rPr>
          <w:rFonts w:ascii="Aptos" w:hAnsi="Aptos"/>
        </w:rPr>
        <w:t>s de la Banque mondiale et de l’OCDE, le déficit de durabilité des projets de santé dans les pays à revenu faible et intermédiaire reste l’un des défis les plus persistants de la coopération internationale en santé [1][2]. Répondre à cette question n’est p</w:t>
      </w:r>
      <w:r w:rsidRPr="00D60D1F">
        <w:rPr>
          <w:rFonts w:ascii="Aptos" w:hAnsi="Aptos"/>
        </w:rPr>
        <w:t>as un exercice académique — c’est une responsabilité stratégique pour tout PTF engagé dans la transformation des systèmes de santé africains.</w:t>
      </w:r>
    </w:p>
    <w:p w14:paraId="37F85558" w14:textId="77777777" w:rsidR="00307693" w:rsidRPr="00D60D1F" w:rsidRDefault="00547B92" w:rsidP="00D60D1F">
      <w:pPr>
        <w:pStyle w:val="Titre2"/>
        <w:jc w:val="both"/>
        <w:rPr>
          <w:rFonts w:ascii="Aptos" w:hAnsi="Aptos"/>
          <w:color w:val="C45911" w:themeColor="accent2" w:themeShade="BF"/>
        </w:rPr>
      </w:pPr>
      <w:r w:rsidRPr="00D60D1F">
        <w:rPr>
          <w:rFonts w:ascii="Aptos" w:hAnsi="Aptos"/>
          <w:color w:val="C45911" w:themeColor="accent2" w:themeShade="BF"/>
        </w:rPr>
        <w:t>Le piège de l’approche projet : quand l’urgence éclipse la durabilité</w:t>
      </w:r>
    </w:p>
    <w:p w14:paraId="4CEEE0FE" w14:textId="77777777" w:rsidR="00307693" w:rsidRPr="00D60D1F" w:rsidRDefault="00547B92" w:rsidP="00D60D1F">
      <w:pPr>
        <w:spacing w:after="180"/>
        <w:jc w:val="both"/>
        <w:rPr>
          <w:rFonts w:ascii="Aptos" w:hAnsi="Aptos"/>
        </w:rPr>
      </w:pPr>
      <w:r w:rsidRPr="00D60D1F">
        <w:rPr>
          <w:rFonts w:ascii="Aptos" w:hAnsi="Aptos"/>
        </w:rPr>
        <w:t>La plupart des investissements des PTF en sa</w:t>
      </w:r>
      <w:r w:rsidRPr="00D60D1F">
        <w:rPr>
          <w:rFonts w:ascii="Aptos" w:hAnsi="Aptos"/>
        </w:rPr>
        <w:t>nté sont structurés en projets : des enveloppes définies dans le temps, avec des objectifs précis, des indicateurs de performance et des échéances de décaissement. Cette approche a une logique interne évidente : elle permet de planifier, de mesurer et de r</w:t>
      </w:r>
      <w:r w:rsidRPr="00D60D1F">
        <w:rPr>
          <w:rFonts w:ascii="Aptos" w:hAnsi="Aptos"/>
        </w:rPr>
        <w:t>endre compte. Mais elle porte aussi en elle un paradoxe fondamental — les transformations systémiques durables ne se produisent pas à l’échelle d’un projet.</w:t>
      </w:r>
    </w:p>
    <w:p w14:paraId="033A49D1" w14:textId="77777777" w:rsidR="00307693" w:rsidRPr="00D60D1F" w:rsidRDefault="00547B92" w:rsidP="00D60D1F">
      <w:pPr>
        <w:spacing w:after="180"/>
        <w:jc w:val="both"/>
        <w:rPr>
          <w:rFonts w:ascii="Aptos" w:hAnsi="Aptos"/>
        </w:rPr>
      </w:pPr>
      <w:r w:rsidRPr="00D60D1F">
        <w:rPr>
          <w:rFonts w:ascii="Aptos" w:hAnsi="Aptos"/>
        </w:rPr>
        <w:t xml:space="preserve">Un système d’information déployé en trois ans peut devenir orphelin en trois mois si les capacités </w:t>
      </w:r>
      <w:r w:rsidRPr="00D60D1F">
        <w:rPr>
          <w:rFonts w:ascii="Aptos" w:hAnsi="Aptos"/>
        </w:rPr>
        <w:t xml:space="preserve">institutionnelles pour le maintenir n’ont pas été suffisamment développées. Une réforme logistique peut s’essouffler dès que les consultants internationaux quittent le pays, </w:t>
      </w:r>
      <w:proofErr w:type="gramStart"/>
      <w:r w:rsidRPr="00D60D1F">
        <w:rPr>
          <w:rFonts w:ascii="Aptos" w:hAnsi="Aptos"/>
        </w:rPr>
        <w:t>si</w:t>
      </w:r>
      <w:proofErr w:type="gramEnd"/>
      <w:r w:rsidRPr="00D60D1F">
        <w:rPr>
          <w:rFonts w:ascii="Aptos" w:hAnsi="Aptos"/>
        </w:rPr>
        <w:t xml:space="preserve"> le transfert de compétences aux équipes nationales a été traité comme une activ</w:t>
      </w:r>
      <w:r w:rsidRPr="00D60D1F">
        <w:rPr>
          <w:rFonts w:ascii="Aptos" w:hAnsi="Aptos"/>
        </w:rPr>
        <w:t>ité accessoire plutôt que comme un objectif central. La durabilité doit être pensée dès la conception — pas ajoutée en fin de projet comme une clause de sortie.</w:t>
      </w:r>
    </w:p>
    <w:p w14:paraId="6E2E8CB9" w14:textId="77777777" w:rsidR="00307693" w:rsidRPr="00D60D1F" w:rsidRDefault="00547B92" w:rsidP="00D60D1F">
      <w:pPr>
        <w:pStyle w:val="Titre2"/>
        <w:jc w:val="both"/>
        <w:rPr>
          <w:rFonts w:ascii="Aptos" w:hAnsi="Aptos"/>
          <w:color w:val="C45911" w:themeColor="accent2" w:themeShade="BF"/>
        </w:rPr>
      </w:pPr>
      <w:r w:rsidRPr="00D60D1F">
        <w:rPr>
          <w:rFonts w:ascii="Aptos" w:hAnsi="Aptos"/>
          <w:color w:val="C45911" w:themeColor="accent2" w:themeShade="BF"/>
        </w:rPr>
        <w:t>L’alignement sur les priorités nationales : une condition non négociable</w:t>
      </w:r>
    </w:p>
    <w:p w14:paraId="0AD97F16" w14:textId="77777777" w:rsidR="00307693" w:rsidRPr="00D60D1F" w:rsidRDefault="00547B92" w:rsidP="00D60D1F">
      <w:pPr>
        <w:spacing w:after="180"/>
        <w:jc w:val="both"/>
        <w:rPr>
          <w:rFonts w:ascii="Aptos" w:hAnsi="Aptos"/>
        </w:rPr>
      </w:pPr>
      <w:r w:rsidRPr="00D60D1F">
        <w:rPr>
          <w:rFonts w:ascii="Aptos" w:hAnsi="Aptos"/>
        </w:rPr>
        <w:t>L’une des leçons les m</w:t>
      </w:r>
      <w:r w:rsidRPr="00D60D1F">
        <w:rPr>
          <w:rFonts w:ascii="Aptos" w:hAnsi="Aptos"/>
        </w:rPr>
        <w:t>ieux documentées de la coopération internationale en santé est que les interventions les plus efficaces sont celles qui s’inscrivent dans les priorités stratégiques nationales, s’appuient sur les systèmes existants et renforcent les capacités des acteurs n</w:t>
      </w:r>
      <w:r w:rsidRPr="00D60D1F">
        <w:rPr>
          <w:rFonts w:ascii="Aptos" w:hAnsi="Aptos"/>
        </w:rPr>
        <w:t>ationaux plutôt que de les contourner. Les approches verticales — qui créent des structures parallèles, des circuits d’approvisionnement séparés ou des unités de gestion autonomes — peuvent produire des résultats à court terme, mais fragilisent souvent les</w:t>
      </w:r>
      <w:r w:rsidRPr="00D60D1F">
        <w:rPr>
          <w:rFonts w:ascii="Aptos" w:hAnsi="Aptos"/>
        </w:rPr>
        <w:t xml:space="preserve"> systèmes nationaux à long terme.</w:t>
      </w:r>
    </w:p>
    <w:p w14:paraId="54ED2C5C" w14:textId="77777777" w:rsidR="00307693" w:rsidRPr="00D60D1F" w:rsidRDefault="00547B92" w:rsidP="00D60D1F">
      <w:pPr>
        <w:spacing w:after="180"/>
        <w:jc w:val="both"/>
        <w:rPr>
          <w:rFonts w:ascii="Aptos" w:hAnsi="Aptos"/>
        </w:rPr>
      </w:pPr>
      <w:r w:rsidRPr="00D60D1F">
        <w:rPr>
          <w:rFonts w:ascii="Aptos" w:hAnsi="Aptos"/>
        </w:rPr>
        <w:t>L’OCDE et le Comité d’aide au développement soulignent régulièrement que l’alignement sur les priorités des pays bénéficiaires et l’utilisation des systèmes nationaux constituent des déterminants majeurs de l’efficacité de</w:t>
      </w:r>
      <w:r w:rsidRPr="00D60D1F">
        <w:rPr>
          <w:rFonts w:ascii="Aptos" w:hAnsi="Aptos"/>
        </w:rPr>
        <w:t xml:space="preserve"> l’aide [2]. Cela suppose des PTF qu’ils investissent le temps nécessaire pour comprendre les contextes institutionnels, les contraintes politiques et les dynamiques de pouvoir avant de concevoir leurs interventions — et qu’ils acceptent parfois que la sol</w:t>
      </w:r>
      <w:r w:rsidRPr="00D60D1F">
        <w:rPr>
          <w:rFonts w:ascii="Aptos" w:hAnsi="Aptos"/>
        </w:rPr>
        <w:t>ution optimale ne soit pas celle qu’ils auraient imaginée depuis leurs sièges.</w:t>
      </w:r>
    </w:p>
    <w:p w14:paraId="29CB9632" w14:textId="77777777" w:rsidR="00307693" w:rsidRPr="00D60D1F" w:rsidRDefault="00547B92" w:rsidP="00D60D1F">
      <w:pPr>
        <w:pStyle w:val="Titre2"/>
        <w:jc w:val="both"/>
        <w:rPr>
          <w:rFonts w:ascii="Aptos" w:hAnsi="Aptos"/>
          <w:color w:val="C45911" w:themeColor="accent2" w:themeShade="BF"/>
        </w:rPr>
      </w:pPr>
      <w:r w:rsidRPr="00D60D1F">
        <w:rPr>
          <w:rFonts w:ascii="Aptos" w:hAnsi="Aptos"/>
          <w:color w:val="C45911" w:themeColor="accent2" w:themeShade="BF"/>
        </w:rPr>
        <w:t>Le renforcement des capacités nationales : investissement central, pas activité transversale</w:t>
      </w:r>
    </w:p>
    <w:p w14:paraId="024DCEAA" w14:textId="77777777" w:rsidR="00307693" w:rsidRPr="00D60D1F" w:rsidRDefault="00547B92" w:rsidP="00D60D1F">
      <w:pPr>
        <w:spacing w:after="180"/>
        <w:jc w:val="both"/>
        <w:rPr>
          <w:rFonts w:ascii="Aptos" w:hAnsi="Aptos"/>
        </w:rPr>
      </w:pPr>
      <w:r w:rsidRPr="00D60D1F">
        <w:rPr>
          <w:rFonts w:ascii="Aptos" w:hAnsi="Aptos"/>
        </w:rPr>
        <w:t>Dans la grande majorité des projets de santé financés par des PTF, le renforcement d</w:t>
      </w:r>
      <w:r w:rsidRPr="00D60D1F">
        <w:rPr>
          <w:rFonts w:ascii="Aptos" w:hAnsi="Aptos"/>
        </w:rPr>
        <w:t xml:space="preserve">es capacités figure dans les documents de projet — souvent comme composante transversale, </w:t>
      </w:r>
      <w:r w:rsidRPr="00D60D1F">
        <w:rPr>
          <w:rFonts w:ascii="Aptos" w:hAnsi="Aptos"/>
        </w:rPr>
        <w:lastRenderedPageBreak/>
        <w:t>rarement comme objectif central. Cette hiérarchisation implicite a des conséquences concrètes : les ressources allouées au renforcement des capacités sont fréquemment</w:t>
      </w:r>
      <w:r w:rsidRPr="00D60D1F">
        <w:rPr>
          <w:rFonts w:ascii="Aptos" w:hAnsi="Aptos"/>
        </w:rPr>
        <w:t xml:space="preserve"> insuffisantes, les activités de formation sont réduites en cas de contraintes budgétaires, et le transfert de compétences aux équipes nationales est souvent incomplet.</w:t>
      </w:r>
    </w:p>
    <w:p w14:paraId="7DFE02B5" w14:textId="77777777" w:rsidR="00307693" w:rsidRPr="00D60D1F" w:rsidRDefault="00547B92" w:rsidP="00D60D1F">
      <w:pPr>
        <w:spacing w:after="180"/>
        <w:jc w:val="both"/>
        <w:rPr>
          <w:rFonts w:ascii="Aptos" w:hAnsi="Aptos"/>
        </w:rPr>
      </w:pPr>
      <w:r w:rsidRPr="00D60D1F">
        <w:rPr>
          <w:rFonts w:ascii="Aptos" w:hAnsi="Aptos"/>
        </w:rPr>
        <w:t>Un investissement en santé qui ne laisse pas derrière lui des capacités institutionnell</w:t>
      </w:r>
      <w:r w:rsidRPr="00D60D1F">
        <w:rPr>
          <w:rFonts w:ascii="Aptos" w:hAnsi="Aptos"/>
        </w:rPr>
        <w:t>es renforcées est un investissement à impact limité. Selon la Banque mondiale, les projets qui intègrent le renforcement des capacités comme objectif stratégique central — et non comme activité accessoire — génèrent des effets durables significativement su</w:t>
      </w:r>
      <w:r w:rsidRPr="00D60D1F">
        <w:rPr>
          <w:rFonts w:ascii="Aptos" w:hAnsi="Aptos"/>
        </w:rPr>
        <w:t>périeurs sur les systèmes nationaux [1]. Ce repositionnement du renforcement des capacités est l’une des clés pour résoudre le problème structurel de la durabilité.</w:t>
      </w:r>
    </w:p>
    <w:p w14:paraId="14BAC761" w14:textId="77777777" w:rsidR="00307693" w:rsidRPr="00D60D1F" w:rsidRDefault="00547B92" w:rsidP="00D60D1F">
      <w:pPr>
        <w:pStyle w:val="Titre2"/>
        <w:jc w:val="both"/>
        <w:rPr>
          <w:rFonts w:ascii="Aptos" w:hAnsi="Aptos"/>
          <w:color w:val="C45911" w:themeColor="accent2" w:themeShade="BF"/>
        </w:rPr>
      </w:pPr>
      <w:r w:rsidRPr="00D60D1F">
        <w:rPr>
          <w:rFonts w:ascii="Aptos" w:hAnsi="Aptos"/>
          <w:color w:val="C45911" w:themeColor="accent2" w:themeShade="BF"/>
        </w:rPr>
        <w:t>La coordination entre PTF : éviter la fragmentation, amplifier les synergies</w:t>
      </w:r>
    </w:p>
    <w:p w14:paraId="5C7F94C0" w14:textId="77777777" w:rsidR="00307693" w:rsidRPr="00D60D1F" w:rsidRDefault="00547B92" w:rsidP="00D60D1F">
      <w:pPr>
        <w:spacing w:after="180"/>
        <w:jc w:val="both"/>
        <w:rPr>
          <w:rFonts w:ascii="Aptos" w:hAnsi="Aptos"/>
        </w:rPr>
      </w:pPr>
      <w:r w:rsidRPr="00D60D1F">
        <w:rPr>
          <w:rFonts w:ascii="Aptos" w:hAnsi="Aptos"/>
        </w:rPr>
        <w:t>Dans de nombre</w:t>
      </w:r>
      <w:r w:rsidRPr="00D60D1F">
        <w:rPr>
          <w:rFonts w:ascii="Aptos" w:hAnsi="Aptos"/>
        </w:rPr>
        <w:t xml:space="preserve">ux pays africains, les PTF intervenant dans le secteur de la santé sont nombreux et leurs interventions se chevauchent parfois, créant des redondances coûteuses et des incohérences dans les approches. Des médicaments essentiels peuvent être </w:t>
      </w:r>
      <w:proofErr w:type="spellStart"/>
      <w:r w:rsidRPr="00D60D1F">
        <w:rPr>
          <w:rFonts w:ascii="Aptos" w:hAnsi="Aptos"/>
        </w:rPr>
        <w:t>approvisioNNés</w:t>
      </w:r>
      <w:proofErr w:type="spellEnd"/>
      <w:r w:rsidRPr="00D60D1F">
        <w:rPr>
          <w:rFonts w:ascii="Aptos" w:hAnsi="Aptos"/>
        </w:rPr>
        <w:t xml:space="preserve"> </w:t>
      </w:r>
      <w:r w:rsidRPr="00D60D1F">
        <w:rPr>
          <w:rFonts w:ascii="Aptos" w:hAnsi="Aptos"/>
        </w:rPr>
        <w:t xml:space="preserve">par plusieurs circuits simultanément, des systèmes d’information incompatibles peuvent être déployés en parallèle, et les équipes nationales peuvent se retrouver submergées par les exigences de </w:t>
      </w:r>
      <w:proofErr w:type="spellStart"/>
      <w:r w:rsidRPr="00D60D1F">
        <w:rPr>
          <w:rFonts w:ascii="Aptos" w:hAnsi="Aptos"/>
        </w:rPr>
        <w:t>reporting</w:t>
      </w:r>
      <w:proofErr w:type="spellEnd"/>
      <w:r w:rsidRPr="00D60D1F">
        <w:rPr>
          <w:rFonts w:ascii="Aptos" w:hAnsi="Aptos"/>
        </w:rPr>
        <w:t xml:space="preserve"> de multiples financeurs aux formats différents.</w:t>
      </w:r>
    </w:p>
    <w:p w14:paraId="257A72A7" w14:textId="77777777" w:rsidR="00307693" w:rsidRPr="00D60D1F" w:rsidRDefault="00547B92" w:rsidP="00D60D1F">
      <w:pPr>
        <w:spacing w:after="180"/>
        <w:jc w:val="both"/>
        <w:rPr>
          <w:rFonts w:ascii="Aptos" w:hAnsi="Aptos"/>
        </w:rPr>
      </w:pPr>
      <w:r w:rsidRPr="00D60D1F">
        <w:rPr>
          <w:rFonts w:ascii="Aptos" w:hAnsi="Aptos"/>
        </w:rPr>
        <w:t>La c</w:t>
      </w:r>
      <w:r w:rsidRPr="00D60D1F">
        <w:rPr>
          <w:rFonts w:ascii="Aptos" w:hAnsi="Aptos"/>
        </w:rPr>
        <w:t>oordination entre PTF — à travers des mécanismes de concertation sectorielle, des plateformes de partage d’informations et des approches programmatiques communes — est une condition essentielle pour maximiser l’impact collectif des investissements. Elle su</w:t>
      </w:r>
      <w:r w:rsidRPr="00D60D1F">
        <w:rPr>
          <w:rFonts w:ascii="Aptos" w:hAnsi="Aptos"/>
        </w:rPr>
        <w:t>ppose que chaque PTF accepte de sortir de sa logique institutionnelle propre pour s’inscrire dans une dynamique de système. C’est un défi de gouvernance autant qu’un défi technique.</w:t>
      </w:r>
    </w:p>
    <w:p w14:paraId="658D2F88" w14:textId="77777777" w:rsidR="00307693" w:rsidRPr="00D60D1F" w:rsidRDefault="00547B92" w:rsidP="00D60D1F">
      <w:pPr>
        <w:pStyle w:val="Titre2"/>
        <w:jc w:val="both"/>
        <w:rPr>
          <w:rFonts w:ascii="Aptos" w:hAnsi="Aptos"/>
          <w:color w:val="C45911" w:themeColor="accent2" w:themeShade="BF"/>
        </w:rPr>
      </w:pPr>
      <w:r w:rsidRPr="00D60D1F">
        <w:rPr>
          <w:rFonts w:ascii="Aptos" w:hAnsi="Aptos"/>
          <w:color w:val="C45911" w:themeColor="accent2" w:themeShade="BF"/>
        </w:rPr>
        <w:t>Ce que SaniNova apporte aux organisations internationales et PTF</w:t>
      </w:r>
    </w:p>
    <w:p w14:paraId="74655D74" w14:textId="77777777" w:rsidR="00307693" w:rsidRPr="00D60D1F" w:rsidRDefault="00547B92" w:rsidP="00D60D1F">
      <w:pPr>
        <w:spacing w:after="180"/>
        <w:jc w:val="both"/>
        <w:rPr>
          <w:rFonts w:ascii="Aptos" w:hAnsi="Aptos"/>
        </w:rPr>
      </w:pPr>
      <w:r w:rsidRPr="00D60D1F">
        <w:rPr>
          <w:rFonts w:ascii="Aptos" w:hAnsi="Aptos"/>
        </w:rPr>
        <w:t xml:space="preserve">SaniNova </w:t>
      </w:r>
      <w:r w:rsidRPr="00D60D1F">
        <w:rPr>
          <w:rFonts w:ascii="Aptos" w:hAnsi="Aptos"/>
        </w:rPr>
        <w:t>apporte aux organisations internationales et aux partenaires techniques et financiers une expertise de terrain ancrée dans les réalités institutionnelles africaines. Nous intervenons en appui à la conception, à la mise en œuvre et à l’évaluation de program</w:t>
      </w:r>
      <w:r w:rsidRPr="00D60D1F">
        <w:rPr>
          <w:rFonts w:ascii="Aptos" w:hAnsi="Aptos"/>
        </w:rPr>
        <w:t>mes de santé : analyse des contextes nationaux, conception de stratégies de renforcement des capacités, appui à la coordination intersectorielle, conception de dispositifs de suivi-évaluation orientés impact et durabilité, et facilitation des dialogues ent</w:t>
      </w:r>
      <w:r w:rsidRPr="00D60D1F">
        <w:rPr>
          <w:rFonts w:ascii="Aptos" w:hAnsi="Aptos"/>
        </w:rPr>
        <w:t>re partenaires et acteurs nationaux.</w:t>
      </w:r>
    </w:p>
    <w:p w14:paraId="6FBF1E4E" w14:textId="77777777" w:rsidR="00307693" w:rsidRPr="00D60D1F" w:rsidRDefault="00547B92" w:rsidP="00D60D1F">
      <w:pPr>
        <w:spacing w:after="180"/>
        <w:jc w:val="both"/>
        <w:rPr>
          <w:rFonts w:ascii="Aptos" w:hAnsi="Aptos"/>
        </w:rPr>
      </w:pPr>
      <w:r w:rsidRPr="00D60D1F">
        <w:rPr>
          <w:rFonts w:ascii="Aptos" w:hAnsi="Aptos"/>
        </w:rPr>
        <w:t>Notre valeur ajoutée est précisément d’être à l’interface entre la rigueur méthodologique attendue par les PTF et la connaissance fine des dynamiques institutionnelles locales. Nous aidons nos partenaires à concevoir de</w:t>
      </w:r>
      <w:r w:rsidRPr="00D60D1F">
        <w:rPr>
          <w:rFonts w:ascii="Aptos" w:hAnsi="Aptos"/>
        </w:rPr>
        <w:t>s interventions qui tiennent — pas seulement pendant la durée du financement, mais bien après.</w:t>
      </w:r>
    </w:p>
    <w:p w14:paraId="11FA7739" w14:textId="77777777" w:rsidR="00307693" w:rsidRPr="00D60D1F" w:rsidRDefault="00307693" w:rsidP="00D60D1F">
      <w:pPr>
        <w:pBdr>
          <w:bottom w:val="single" w:sz="4" w:space="1" w:color="CCCCCC"/>
        </w:pBdr>
        <w:spacing w:before="240" w:after="240"/>
        <w:jc w:val="both"/>
        <w:rPr>
          <w:rFonts w:ascii="Aptos" w:hAnsi="Aptos"/>
        </w:rPr>
      </w:pPr>
    </w:p>
    <w:p w14:paraId="50BC73F0" w14:textId="77777777" w:rsidR="00307693" w:rsidRPr="00D60D1F" w:rsidRDefault="00547B92" w:rsidP="00D60D1F">
      <w:pPr>
        <w:spacing w:before="120" w:after="120"/>
        <w:jc w:val="both"/>
        <w:rPr>
          <w:rFonts w:ascii="Aptos" w:hAnsi="Aptos"/>
        </w:rPr>
      </w:pPr>
      <w:r w:rsidRPr="00D60D1F">
        <w:rPr>
          <w:rFonts w:ascii="Aptos" w:hAnsi="Aptos"/>
          <w:b/>
          <w:bCs/>
          <w:color w:val="333333"/>
          <w:sz w:val="20"/>
          <w:szCs w:val="20"/>
        </w:rPr>
        <w:t>Références bibliographiques</w:t>
      </w:r>
    </w:p>
    <w:p w14:paraId="68B89ACC" w14:textId="77777777" w:rsidR="00307693" w:rsidRPr="00D60D1F" w:rsidRDefault="00547B92" w:rsidP="00D60D1F">
      <w:pPr>
        <w:pStyle w:val="Paragraphedeliste"/>
        <w:numPr>
          <w:ilvl w:val="0"/>
          <w:numId w:val="2"/>
        </w:numPr>
        <w:spacing w:after="80"/>
        <w:jc w:val="both"/>
        <w:rPr>
          <w:rFonts w:ascii="Aptos" w:hAnsi="Aptos"/>
        </w:rPr>
      </w:pPr>
      <w:r w:rsidRPr="00D60D1F">
        <w:rPr>
          <w:rFonts w:ascii="Aptos" w:hAnsi="Aptos"/>
          <w:color w:val="555555"/>
          <w:sz w:val="18"/>
          <w:szCs w:val="18"/>
          <w:lang w:val="en-US"/>
        </w:rPr>
        <w:t xml:space="preserve">World Bank. Improving Health Project Sustainability: Lessons from Two Decades of Health Systems Investments. </w:t>
      </w:r>
      <w:r w:rsidRPr="00D60D1F">
        <w:rPr>
          <w:rFonts w:ascii="Aptos" w:hAnsi="Aptos"/>
          <w:color w:val="555555"/>
          <w:sz w:val="18"/>
          <w:szCs w:val="18"/>
        </w:rPr>
        <w:t>Washington DC : World B</w:t>
      </w:r>
      <w:r w:rsidRPr="00D60D1F">
        <w:rPr>
          <w:rFonts w:ascii="Aptos" w:hAnsi="Aptos"/>
          <w:color w:val="555555"/>
          <w:sz w:val="18"/>
          <w:szCs w:val="18"/>
        </w:rPr>
        <w:t>ank, 2022.</w:t>
      </w:r>
    </w:p>
    <w:p w14:paraId="0D17716F" w14:textId="77777777" w:rsidR="00307693" w:rsidRPr="00D60D1F" w:rsidRDefault="00547B92" w:rsidP="00D60D1F">
      <w:pPr>
        <w:pStyle w:val="Paragraphedeliste"/>
        <w:numPr>
          <w:ilvl w:val="0"/>
          <w:numId w:val="2"/>
        </w:numPr>
        <w:spacing w:after="80"/>
        <w:jc w:val="both"/>
        <w:rPr>
          <w:rFonts w:ascii="Aptos" w:hAnsi="Aptos"/>
        </w:rPr>
      </w:pPr>
      <w:r w:rsidRPr="00D60D1F">
        <w:rPr>
          <w:rFonts w:ascii="Aptos" w:hAnsi="Aptos"/>
          <w:color w:val="555555"/>
          <w:sz w:val="18"/>
          <w:szCs w:val="18"/>
          <w:lang w:val="en-US"/>
        </w:rPr>
        <w:t xml:space="preserve">OECD Development Assistance Committee (DAC). Measuring Aid Quality and Effectiveness: 2023 Report. </w:t>
      </w:r>
      <w:r w:rsidRPr="00D60D1F">
        <w:rPr>
          <w:rFonts w:ascii="Aptos" w:hAnsi="Aptos"/>
          <w:color w:val="555555"/>
          <w:sz w:val="18"/>
          <w:szCs w:val="18"/>
        </w:rPr>
        <w:t xml:space="preserve">Paris : OECD </w:t>
      </w:r>
      <w:proofErr w:type="spellStart"/>
      <w:r w:rsidRPr="00D60D1F">
        <w:rPr>
          <w:rFonts w:ascii="Aptos" w:hAnsi="Aptos"/>
          <w:color w:val="555555"/>
          <w:sz w:val="18"/>
          <w:szCs w:val="18"/>
        </w:rPr>
        <w:t>Publishing</w:t>
      </w:r>
      <w:proofErr w:type="spellEnd"/>
      <w:r w:rsidRPr="00D60D1F">
        <w:rPr>
          <w:rFonts w:ascii="Aptos" w:hAnsi="Aptos"/>
          <w:color w:val="555555"/>
          <w:sz w:val="18"/>
          <w:szCs w:val="18"/>
        </w:rPr>
        <w:t>, 2023.</w:t>
      </w:r>
    </w:p>
    <w:p w14:paraId="57676353" w14:textId="77777777" w:rsidR="00307693" w:rsidRPr="00D60D1F" w:rsidRDefault="00547B92" w:rsidP="00D60D1F">
      <w:pPr>
        <w:pStyle w:val="Paragraphedeliste"/>
        <w:numPr>
          <w:ilvl w:val="0"/>
          <w:numId w:val="2"/>
        </w:numPr>
        <w:spacing w:after="80"/>
        <w:jc w:val="both"/>
        <w:rPr>
          <w:rFonts w:ascii="Aptos" w:hAnsi="Aptos"/>
        </w:rPr>
      </w:pPr>
      <w:r w:rsidRPr="00D60D1F">
        <w:rPr>
          <w:rFonts w:ascii="Aptos" w:hAnsi="Aptos"/>
          <w:color w:val="555555"/>
          <w:sz w:val="18"/>
          <w:szCs w:val="18"/>
          <w:lang w:val="en-US"/>
        </w:rPr>
        <w:t xml:space="preserve">World Health Organization (WHO). Health Systems Governance for Universal Health Coverage: Action Plan. </w:t>
      </w:r>
      <w:r w:rsidRPr="00D60D1F">
        <w:rPr>
          <w:rFonts w:ascii="Aptos" w:hAnsi="Aptos"/>
          <w:color w:val="555555"/>
          <w:sz w:val="18"/>
          <w:szCs w:val="18"/>
        </w:rPr>
        <w:t>Geneva : WHO</w:t>
      </w:r>
      <w:r w:rsidRPr="00D60D1F">
        <w:rPr>
          <w:rFonts w:ascii="Aptos" w:hAnsi="Aptos"/>
          <w:color w:val="555555"/>
          <w:sz w:val="18"/>
          <w:szCs w:val="18"/>
        </w:rPr>
        <w:t>, 2014.</w:t>
      </w:r>
    </w:p>
    <w:sectPr w:rsidR="00307693" w:rsidRPr="00D60D1F" w:rsidSect="00547B92">
      <w:pgSz w:w="11906" w:h="16838"/>
      <w:pgMar w:top="567" w:right="1440" w:bottom="127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845"/>
    <w:multiLevelType w:val="hybridMultilevel"/>
    <w:tmpl w:val="2480B6A2"/>
    <w:lvl w:ilvl="0" w:tplc="08C27C84">
      <w:start w:val="1"/>
      <w:numFmt w:val="bullet"/>
      <w:lvlText w:val="●"/>
      <w:lvlJc w:val="left"/>
      <w:pPr>
        <w:ind w:left="720" w:hanging="360"/>
      </w:pPr>
    </w:lvl>
    <w:lvl w:ilvl="1" w:tplc="50482BC4">
      <w:start w:val="1"/>
      <w:numFmt w:val="bullet"/>
      <w:lvlText w:val="○"/>
      <w:lvlJc w:val="left"/>
      <w:pPr>
        <w:ind w:left="1440" w:hanging="360"/>
      </w:pPr>
    </w:lvl>
    <w:lvl w:ilvl="2" w:tplc="65F27900">
      <w:start w:val="1"/>
      <w:numFmt w:val="bullet"/>
      <w:lvlText w:val="■"/>
      <w:lvlJc w:val="left"/>
      <w:pPr>
        <w:ind w:left="2160" w:hanging="360"/>
      </w:pPr>
    </w:lvl>
    <w:lvl w:ilvl="3" w:tplc="8BB4FF60">
      <w:start w:val="1"/>
      <w:numFmt w:val="bullet"/>
      <w:lvlText w:val="●"/>
      <w:lvlJc w:val="left"/>
      <w:pPr>
        <w:ind w:left="2880" w:hanging="360"/>
      </w:pPr>
    </w:lvl>
    <w:lvl w:ilvl="4" w:tplc="D458C690">
      <w:start w:val="1"/>
      <w:numFmt w:val="bullet"/>
      <w:lvlText w:val="○"/>
      <w:lvlJc w:val="left"/>
      <w:pPr>
        <w:ind w:left="3600" w:hanging="360"/>
      </w:pPr>
    </w:lvl>
    <w:lvl w:ilvl="5" w:tplc="1DB86712">
      <w:start w:val="1"/>
      <w:numFmt w:val="bullet"/>
      <w:lvlText w:val="■"/>
      <w:lvlJc w:val="left"/>
      <w:pPr>
        <w:ind w:left="4320" w:hanging="360"/>
      </w:pPr>
    </w:lvl>
    <w:lvl w:ilvl="6" w:tplc="8F949DAE">
      <w:start w:val="1"/>
      <w:numFmt w:val="bullet"/>
      <w:lvlText w:val="●"/>
      <w:lvlJc w:val="left"/>
      <w:pPr>
        <w:ind w:left="5040" w:hanging="360"/>
      </w:pPr>
    </w:lvl>
    <w:lvl w:ilvl="7" w:tplc="C9E4B2BE">
      <w:start w:val="1"/>
      <w:numFmt w:val="bullet"/>
      <w:lvlText w:val="●"/>
      <w:lvlJc w:val="left"/>
      <w:pPr>
        <w:ind w:left="5760" w:hanging="360"/>
      </w:pPr>
    </w:lvl>
    <w:lvl w:ilvl="8" w:tplc="A02083E4">
      <w:start w:val="1"/>
      <w:numFmt w:val="bullet"/>
      <w:lvlText w:val="●"/>
      <w:lvlJc w:val="left"/>
      <w:pPr>
        <w:ind w:left="6480" w:hanging="360"/>
      </w:pPr>
    </w:lvl>
  </w:abstractNum>
  <w:abstractNum w:abstractNumId="1" w15:restartNumberingAfterBreak="0">
    <w:nsid w:val="32F93C20"/>
    <w:multiLevelType w:val="hybridMultilevel"/>
    <w:tmpl w:val="B4B2B142"/>
    <w:lvl w:ilvl="0" w:tplc="D13A5544">
      <w:start w:val="1"/>
      <w:numFmt w:val="decimal"/>
      <w:lvlText w:val="[%1]"/>
      <w:lvlJc w:val="left"/>
      <w:pPr>
        <w:ind w:left="540" w:hanging="360"/>
      </w:pPr>
    </w:lvl>
    <w:lvl w:ilvl="1" w:tplc="80387A1E">
      <w:numFmt w:val="decimal"/>
      <w:lvlText w:val=""/>
      <w:lvlJc w:val="left"/>
    </w:lvl>
    <w:lvl w:ilvl="2" w:tplc="4DD8B26E">
      <w:numFmt w:val="decimal"/>
      <w:lvlText w:val=""/>
      <w:lvlJc w:val="left"/>
    </w:lvl>
    <w:lvl w:ilvl="3" w:tplc="AF26DAA2">
      <w:numFmt w:val="decimal"/>
      <w:lvlText w:val=""/>
      <w:lvlJc w:val="left"/>
    </w:lvl>
    <w:lvl w:ilvl="4" w:tplc="F2040504">
      <w:numFmt w:val="decimal"/>
      <w:lvlText w:val=""/>
      <w:lvlJc w:val="left"/>
    </w:lvl>
    <w:lvl w:ilvl="5" w:tplc="A8008F2C">
      <w:numFmt w:val="decimal"/>
      <w:lvlText w:val=""/>
      <w:lvlJc w:val="left"/>
    </w:lvl>
    <w:lvl w:ilvl="6" w:tplc="2DAEDA6C">
      <w:numFmt w:val="decimal"/>
      <w:lvlText w:val=""/>
      <w:lvlJc w:val="left"/>
    </w:lvl>
    <w:lvl w:ilvl="7" w:tplc="DBAA89D6">
      <w:numFmt w:val="decimal"/>
      <w:lvlText w:val=""/>
      <w:lvlJc w:val="left"/>
    </w:lvl>
    <w:lvl w:ilvl="8" w:tplc="594E896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693"/>
    <w:rsid w:val="00307693"/>
    <w:rsid w:val="00547B92"/>
    <w:rsid w:val="00D60D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25E12"/>
  <w15:docId w15:val="{B926D982-A916-457A-A5F5-70E86EAAA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1084</Words>
  <Characters>5962</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3</cp:revision>
  <dcterms:created xsi:type="dcterms:W3CDTF">2026-05-28T20:48:00Z</dcterms:created>
  <dcterms:modified xsi:type="dcterms:W3CDTF">2026-05-28T20:48:00Z</dcterms:modified>
</cp:coreProperties>
</file>