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D0D4E" w14:textId="77777777" w:rsidR="00886FAC" w:rsidRPr="005E625F" w:rsidRDefault="005E625F" w:rsidP="005E625F">
      <w:pPr>
        <w:pStyle w:val="Titre1"/>
        <w:jc w:val="both"/>
        <w:rPr>
          <w:rFonts w:ascii="Aptos" w:hAnsi="Aptos"/>
        </w:rPr>
      </w:pPr>
      <w:r w:rsidRPr="005E625F">
        <w:rPr>
          <w:rFonts w:ascii="Aptos" w:hAnsi="Aptos"/>
        </w:rPr>
        <w:t>Secteur pharmaceutique privé en Afrique : naviguer entre opportunités de marché et exigences croissantes de conformité</w:t>
      </w:r>
    </w:p>
    <w:p w14:paraId="47946C89" w14:textId="77777777" w:rsidR="00886FAC" w:rsidRPr="005E625F" w:rsidRDefault="005E625F" w:rsidP="005E625F">
      <w:pPr>
        <w:spacing w:after="180"/>
        <w:jc w:val="both"/>
        <w:rPr>
          <w:rFonts w:ascii="Aptos" w:hAnsi="Aptos"/>
        </w:rPr>
      </w:pPr>
      <w:r w:rsidRPr="005E625F">
        <w:rPr>
          <w:rFonts w:ascii="Aptos" w:hAnsi="Aptos"/>
        </w:rPr>
        <w:t>Le marché pharmaceutique africain est en pleine effervescence. Porté par une croissance démographique soutenue, l’urbanisation rapide, l’essor des classes moyennes et la montée en charge des maladies chroniques, il offre des perspectives de développement c</w:t>
      </w:r>
      <w:r w:rsidRPr="005E625F">
        <w:rPr>
          <w:rFonts w:ascii="Aptos" w:hAnsi="Aptos"/>
        </w:rPr>
        <w:t>onsidérables pour les acteurs privés — fabricants, distributeurs, grossistes-répartiteurs, chaînes de pharmacies et sociétés de logistique pharmaceutique. Selon plusieurs analyses du marché africain de la santé, le continent devrait représenter l’un des ma</w:t>
      </w:r>
      <w:r w:rsidRPr="005E625F">
        <w:rPr>
          <w:rFonts w:ascii="Aptos" w:hAnsi="Aptos"/>
        </w:rPr>
        <w:t>rchés pharmaceutiques à la croissance la plus rapide au monde au cours de la prochaine décennie [1].</w:t>
      </w:r>
    </w:p>
    <w:p w14:paraId="24149FB5" w14:textId="77777777" w:rsidR="00886FAC" w:rsidRPr="005E625F" w:rsidRDefault="005E625F" w:rsidP="005E625F">
      <w:pPr>
        <w:spacing w:after="180"/>
        <w:jc w:val="both"/>
        <w:rPr>
          <w:rFonts w:ascii="Aptos" w:hAnsi="Aptos"/>
        </w:rPr>
      </w:pPr>
      <w:r w:rsidRPr="005E625F">
        <w:rPr>
          <w:rFonts w:ascii="Aptos" w:hAnsi="Aptos"/>
        </w:rPr>
        <w:t>Mais ce potentiel de marché s’accompagne d’un environnement réglementaire en mutation profonde. Les gouvernements africains, soutenus par des initiatives c</w:t>
      </w:r>
      <w:r w:rsidRPr="005E625F">
        <w:rPr>
          <w:rFonts w:ascii="Aptos" w:hAnsi="Aptos"/>
        </w:rPr>
        <w:t>ontinentales comme l’Agence africaine du médicament, renforcent progressivement leurs cadres réglementaires, durcissent les exigences de conformité et déploient des systèmes de traçabilité et de surveillance du marché pharmaceutique. Pour les acteurs privé</w:t>
      </w:r>
      <w:r w:rsidRPr="005E625F">
        <w:rPr>
          <w:rFonts w:ascii="Aptos" w:hAnsi="Aptos"/>
        </w:rPr>
        <w:t>s, cette évolution représente à la fois un défi opérationnel et une opportunité stratégique. Ceux qui s’y prépareront tôt seront mieux positionnés. Ceux qui attendront subiront les transitions.</w:t>
      </w:r>
    </w:p>
    <w:p w14:paraId="463FB7B9" w14:textId="77777777" w:rsidR="00886FAC" w:rsidRPr="005E625F" w:rsidRDefault="005E625F" w:rsidP="005E625F">
      <w:pPr>
        <w:pStyle w:val="Titre2"/>
        <w:jc w:val="both"/>
        <w:rPr>
          <w:rFonts w:ascii="Aptos" w:hAnsi="Aptos"/>
          <w:color w:val="FF0000"/>
        </w:rPr>
      </w:pPr>
      <w:r w:rsidRPr="005E625F">
        <w:rPr>
          <w:rFonts w:ascii="Aptos" w:hAnsi="Aptos"/>
          <w:color w:val="FF0000"/>
        </w:rPr>
        <w:t>Un marché en croissance, mais fragmenté et exigeant</w:t>
      </w:r>
    </w:p>
    <w:p w14:paraId="15780D4D" w14:textId="77777777" w:rsidR="00886FAC" w:rsidRPr="005E625F" w:rsidRDefault="005E625F" w:rsidP="005E625F">
      <w:pPr>
        <w:spacing w:after="180"/>
        <w:jc w:val="both"/>
        <w:rPr>
          <w:rFonts w:ascii="Aptos" w:hAnsi="Aptos"/>
        </w:rPr>
      </w:pPr>
      <w:r w:rsidRPr="005E625F">
        <w:rPr>
          <w:rFonts w:ascii="Aptos" w:hAnsi="Aptos"/>
        </w:rPr>
        <w:t xml:space="preserve">Le marché </w:t>
      </w:r>
      <w:r w:rsidRPr="005E625F">
        <w:rPr>
          <w:rFonts w:ascii="Aptos" w:hAnsi="Aptos"/>
        </w:rPr>
        <w:t xml:space="preserve">pharmaceutique africain ne se résume pas à un chiffre de croissance global. Il est composé de dizaines de marchés nationaux aux profils très différents — en termes de taille, de maturité réglementaire, de pouvoir d’achat, d’infrastructure logistique et de </w:t>
      </w:r>
      <w:r w:rsidRPr="005E625F">
        <w:rPr>
          <w:rFonts w:ascii="Aptos" w:hAnsi="Aptos"/>
        </w:rPr>
        <w:t xml:space="preserve">dynamiques concurrentielles. Pénétrer efficacement ce marché suppose une connaissance fine des contextes locaux, une capacité d’adaptation des modèles commerciaux et une </w:t>
      </w:r>
      <w:proofErr w:type="gramStart"/>
      <w:r w:rsidRPr="005E625F">
        <w:rPr>
          <w:rFonts w:ascii="Aptos" w:hAnsi="Aptos"/>
        </w:rPr>
        <w:t>stratégie</w:t>
      </w:r>
      <w:proofErr w:type="gramEnd"/>
      <w:r w:rsidRPr="005E625F">
        <w:rPr>
          <w:rFonts w:ascii="Aptos" w:hAnsi="Aptos"/>
        </w:rPr>
        <w:t xml:space="preserve"> d’enregistrement des produits qui tienne compte des délais et des spécificit</w:t>
      </w:r>
      <w:r w:rsidRPr="005E625F">
        <w:rPr>
          <w:rFonts w:ascii="Aptos" w:hAnsi="Aptos"/>
        </w:rPr>
        <w:t>és réglementaires de chaque pays.</w:t>
      </w:r>
    </w:p>
    <w:p w14:paraId="39A2F553" w14:textId="77777777" w:rsidR="00886FAC" w:rsidRPr="005E625F" w:rsidRDefault="005E625F" w:rsidP="005E625F">
      <w:pPr>
        <w:spacing w:after="180"/>
        <w:jc w:val="both"/>
        <w:rPr>
          <w:rFonts w:ascii="Aptos" w:hAnsi="Aptos"/>
        </w:rPr>
      </w:pPr>
      <w:r w:rsidRPr="005E625F">
        <w:rPr>
          <w:rFonts w:ascii="Aptos" w:hAnsi="Aptos"/>
        </w:rPr>
        <w:t xml:space="preserve">La fragmentation logistique constitue l’un des principaux obstacles à la rentabilité sur ce marché. Les difficultés d’infrastructure, les distances importantes, les contraintes de conservation des produits thermosensibles </w:t>
      </w:r>
      <w:r w:rsidRPr="005E625F">
        <w:rPr>
          <w:rFonts w:ascii="Aptos" w:hAnsi="Aptos"/>
        </w:rPr>
        <w:t>et les risques de rupture de la chaîne du froid sont autant de défis que les acteurs privés doivent maîtriser pour être compétitifs. La logistique n’est pas un coût à minimiser — c’est un avantage concurrentiel à construire.</w:t>
      </w:r>
    </w:p>
    <w:p w14:paraId="3BAA4D64" w14:textId="77777777" w:rsidR="00886FAC" w:rsidRPr="005E625F" w:rsidRDefault="005E625F" w:rsidP="005E625F">
      <w:pPr>
        <w:pStyle w:val="Titre2"/>
        <w:jc w:val="both"/>
        <w:rPr>
          <w:rFonts w:ascii="Aptos" w:hAnsi="Aptos"/>
          <w:color w:val="FF0000"/>
        </w:rPr>
      </w:pPr>
      <w:r w:rsidRPr="005E625F">
        <w:rPr>
          <w:rFonts w:ascii="Aptos" w:hAnsi="Aptos"/>
          <w:color w:val="FF0000"/>
        </w:rPr>
        <w:t>La conformité réglementaire : d</w:t>
      </w:r>
      <w:r w:rsidRPr="005E625F">
        <w:rPr>
          <w:rFonts w:ascii="Aptos" w:hAnsi="Aptos"/>
          <w:color w:val="FF0000"/>
        </w:rPr>
        <w:t>’une contrainte à un avantage concurrentiel</w:t>
      </w:r>
    </w:p>
    <w:p w14:paraId="0F67BFCF" w14:textId="77777777" w:rsidR="00886FAC" w:rsidRPr="005E625F" w:rsidRDefault="005E625F" w:rsidP="005E625F">
      <w:pPr>
        <w:spacing w:after="180"/>
        <w:jc w:val="both"/>
        <w:rPr>
          <w:rFonts w:ascii="Aptos" w:hAnsi="Aptos"/>
        </w:rPr>
      </w:pPr>
      <w:r w:rsidRPr="005E625F">
        <w:rPr>
          <w:rFonts w:ascii="Aptos" w:hAnsi="Aptos"/>
        </w:rPr>
        <w:t>L’environnement réglementaire africain est en transformation accélérée. L’Agence africaine du médicament, dont la mise en place progressive vise à harmoniser les réglementations à l’échelle continentale, va progr</w:t>
      </w:r>
      <w:r w:rsidRPr="005E625F">
        <w:rPr>
          <w:rFonts w:ascii="Aptos" w:hAnsi="Aptos"/>
        </w:rPr>
        <w:t>essivement modifier les règles du jeu pour tous les acteurs du secteur [2]. Les exigences en matière de bonnes pratiques de fabrication, de traçabilité, d’enregistrement et de pharmacovigilance vont se renforcer et s’harmoniser. Pour les acteurs privés, an</w:t>
      </w:r>
      <w:r w:rsidRPr="005E625F">
        <w:rPr>
          <w:rFonts w:ascii="Aptos" w:hAnsi="Aptos"/>
        </w:rPr>
        <w:t>ticiper ces évolutions est une décision stratégique majeure.</w:t>
      </w:r>
    </w:p>
    <w:p w14:paraId="1A3630CF" w14:textId="77777777" w:rsidR="00886FAC" w:rsidRPr="005E625F" w:rsidRDefault="005E625F" w:rsidP="005E625F">
      <w:pPr>
        <w:spacing w:after="180"/>
        <w:jc w:val="both"/>
        <w:rPr>
          <w:rFonts w:ascii="Aptos" w:hAnsi="Aptos"/>
        </w:rPr>
      </w:pPr>
      <w:r w:rsidRPr="005E625F">
        <w:rPr>
          <w:rFonts w:ascii="Aptos" w:hAnsi="Aptos"/>
        </w:rPr>
        <w:t xml:space="preserve">Les entreprises pharmaceutiques qui investissent tôt dans leur conformité réglementaire — en alignant leurs processus sur les standards internationaux, en déployant des systèmes de gestion de la </w:t>
      </w:r>
      <w:r w:rsidRPr="005E625F">
        <w:rPr>
          <w:rFonts w:ascii="Aptos" w:hAnsi="Aptos"/>
        </w:rPr>
        <w:t>qualité robustes et en formant leurs équipes aux exigences réglementaires évolutives — accèdent à des avantages concurrentiels tangibles : accès facilité aux marchés publics, partenariats privilégiés avec les organisations internationales, réduction des ri</w:t>
      </w:r>
      <w:r w:rsidRPr="005E625F">
        <w:rPr>
          <w:rFonts w:ascii="Aptos" w:hAnsi="Aptos"/>
        </w:rPr>
        <w:t>sques d’alerte réglementaire et crédibilité renforcée auprès des prescripteurs et des acheteurs institutionnels.</w:t>
      </w:r>
    </w:p>
    <w:p w14:paraId="2BFB290D" w14:textId="77777777" w:rsidR="00886FAC" w:rsidRPr="005E625F" w:rsidRDefault="005E625F" w:rsidP="005E625F">
      <w:pPr>
        <w:pStyle w:val="Titre2"/>
        <w:jc w:val="both"/>
        <w:rPr>
          <w:rFonts w:ascii="Aptos" w:hAnsi="Aptos"/>
          <w:color w:val="FF0000"/>
        </w:rPr>
      </w:pPr>
      <w:r w:rsidRPr="005E625F">
        <w:rPr>
          <w:rFonts w:ascii="Aptos" w:hAnsi="Aptos"/>
          <w:color w:val="FF0000"/>
        </w:rPr>
        <w:t>La traçabilité pharmaceutique : une évolution inéluctable à anticiper</w:t>
      </w:r>
    </w:p>
    <w:p w14:paraId="5D62A5DF" w14:textId="77777777" w:rsidR="00886FAC" w:rsidRPr="005E625F" w:rsidRDefault="005E625F" w:rsidP="005E625F">
      <w:pPr>
        <w:spacing w:after="180"/>
        <w:jc w:val="both"/>
        <w:rPr>
          <w:rFonts w:ascii="Aptos" w:hAnsi="Aptos"/>
        </w:rPr>
      </w:pPr>
      <w:r w:rsidRPr="005E625F">
        <w:rPr>
          <w:rFonts w:ascii="Aptos" w:hAnsi="Aptos"/>
        </w:rPr>
        <w:lastRenderedPageBreak/>
        <w:t xml:space="preserve">Le déploiement progressif de systèmes de traçabilité pharmaceutique dans </w:t>
      </w:r>
      <w:r w:rsidRPr="005E625F">
        <w:rPr>
          <w:rFonts w:ascii="Aptos" w:hAnsi="Aptos"/>
        </w:rPr>
        <w:t>les pays africains va transformer les exigences opérationnelles des acteurs privés de la distribution et de la fabrication. Les systèmes de sérialisation, d’identification unique des produits et de partage des données avec les autorités réglementaires vont</w:t>
      </w:r>
      <w:r w:rsidRPr="005E625F">
        <w:rPr>
          <w:rFonts w:ascii="Aptos" w:hAnsi="Aptos"/>
        </w:rPr>
        <w:t xml:space="preserve"> devenir des prérequis d’accès au marché, à l’image de ce qui s’est produit en Europe avec la directive médicaments falsifiés ou aux États-Unis avec le Drug </w:t>
      </w:r>
      <w:proofErr w:type="spellStart"/>
      <w:r w:rsidRPr="005E625F">
        <w:rPr>
          <w:rFonts w:ascii="Aptos" w:hAnsi="Aptos"/>
        </w:rPr>
        <w:t>Supply</w:t>
      </w:r>
      <w:proofErr w:type="spellEnd"/>
      <w:r w:rsidRPr="005E625F">
        <w:rPr>
          <w:rFonts w:ascii="Aptos" w:hAnsi="Aptos"/>
        </w:rPr>
        <w:t xml:space="preserve"> Chain Security </w:t>
      </w:r>
      <w:proofErr w:type="spellStart"/>
      <w:r w:rsidRPr="005E625F">
        <w:rPr>
          <w:rFonts w:ascii="Aptos" w:hAnsi="Aptos"/>
        </w:rPr>
        <w:t>Act</w:t>
      </w:r>
      <w:proofErr w:type="spellEnd"/>
      <w:r w:rsidRPr="005E625F">
        <w:rPr>
          <w:rFonts w:ascii="Aptos" w:hAnsi="Aptos"/>
        </w:rPr>
        <w:t xml:space="preserve"> [3].</w:t>
      </w:r>
    </w:p>
    <w:p w14:paraId="2C824729" w14:textId="77777777" w:rsidR="00886FAC" w:rsidRPr="005E625F" w:rsidRDefault="005E625F" w:rsidP="005E625F">
      <w:pPr>
        <w:spacing w:after="180"/>
        <w:jc w:val="both"/>
        <w:rPr>
          <w:rFonts w:ascii="Aptos" w:hAnsi="Aptos"/>
        </w:rPr>
      </w:pPr>
      <w:r w:rsidRPr="005E625F">
        <w:rPr>
          <w:rFonts w:ascii="Aptos" w:hAnsi="Aptos"/>
        </w:rPr>
        <w:t>Les acteurs privés qui intègrent dès maintenant les standards de tra</w:t>
      </w:r>
      <w:r w:rsidRPr="005E625F">
        <w:rPr>
          <w:rFonts w:ascii="Aptos" w:hAnsi="Aptos"/>
        </w:rPr>
        <w:t xml:space="preserve">çabilité dans leurs systèmes opérationnels — plutôt que de les subir comme une contrainte imposée — gagneront en efficacité interne, en visibilité sur leurs flux et en positionnement sur les marchés publics et institutionnels, où la traçabilité devient un </w:t>
      </w:r>
      <w:r w:rsidRPr="005E625F">
        <w:rPr>
          <w:rFonts w:ascii="Aptos" w:hAnsi="Aptos"/>
        </w:rPr>
        <w:t>critère de sélection croissant. La transition est inéluctable. La question est seulement de savoir si on la choisit ou si on la subit.</w:t>
      </w:r>
    </w:p>
    <w:p w14:paraId="1CF0BFFF" w14:textId="77777777" w:rsidR="00886FAC" w:rsidRPr="005E625F" w:rsidRDefault="005E625F" w:rsidP="005E625F">
      <w:pPr>
        <w:pStyle w:val="Titre2"/>
        <w:jc w:val="both"/>
        <w:rPr>
          <w:rFonts w:ascii="Aptos" w:hAnsi="Aptos"/>
          <w:color w:val="FF0000"/>
        </w:rPr>
      </w:pPr>
      <w:r w:rsidRPr="005E625F">
        <w:rPr>
          <w:rFonts w:ascii="Aptos" w:hAnsi="Aptos"/>
          <w:color w:val="FF0000"/>
        </w:rPr>
        <w:t>La production locale : une ambition continentale à saisir</w:t>
      </w:r>
    </w:p>
    <w:p w14:paraId="5B0253C8" w14:textId="77777777" w:rsidR="00886FAC" w:rsidRPr="005E625F" w:rsidRDefault="005E625F" w:rsidP="005E625F">
      <w:pPr>
        <w:spacing w:after="180"/>
        <w:jc w:val="both"/>
        <w:rPr>
          <w:rFonts w:ascii="Aptos" w:hAnsi="Aptos"/>
        </w:rPr>
      </w:pPr>
      <w:r w:rsidRPr="005E625F">
        <w:rPr>
          <w:rFonts w:ascii="Aptos" w:hAnsi="Aptos"/>
        </w:rPr>
        <w:t>La pandémie de COVID-19 a brutalement révélé la vulnérabilité d</w:t>
      </w:r>
      <w:r w:rsidRPr="005E625F">
        <w:rPr>
          <w:rFonts w:ascii="Aptos" w:hAnsi="Aptos"/>
        </w:rPr>
        <w:t>e l’Afrique face à sa dépendance aux importations pharmaceutiques. La réponse politique continentale a été claire et rapide : accélérer la production locale de médicaments, de vaccins et de dispositifs médicaux. La Stratégie pharmaceutique africaine et l’i</w:t>
      </w:r>
      <w:r w:rsidRPr="005E625F">
        <w:rPr>
          <w:rFonts w:ascii="Aptos" w:hAnsi="Aptos"/>
        </w:rPr>
        <w:t>nitiative Pharma 2030 de l’Union africaine fixent des objectifs ambitieux de souveraineté pharmaceutique pour le continent [2].</w:t>
      </w:r>
    </w:p>
    <w:p w14:paraId="0354F7B3" w14:textId="77777777" w:rsidR="00886FAC" w:rsidRPr="005E625F" w:rsidRDefault="005E625F" w:rsidP="005E625F">
      <w:pPr>
        <w:spacing w:after="180"/>
        <w:jc w:val="both"/>
        <w:rPr>
          <w:rFonts w:ascii="Aptos" w:hAnsi="Aptos"/>
        </w:rPr>
      </w:pPr>
      <w:r w:rsidRPr="005E625F">
        <w:rPr>
          <w:rFonts w:ascii="Aptos" w:hAnsi="Aptos"/>
        </w:rPr>
        <w:t>Pour les fabricants locaux et les investisseurs industriels, cette dynamique crée une fenêtre d’opportunité historique. Les gouv</w:t>
      </w:r>
      <w:r w:rsidRPr="005E625F">
        <w:rPr>
          <w:rFonts w:ascii="Aptos" w:hAnsi="Aptos"/>
        </w:rPr>
        <w:t>ernements africains et les partenaires internationaux sont prêts à soutenir les projets industriels pharmaceutiques qui répondent aux standards de qualité requis, qui s’intègrent dans les politiques nationales de santé et qui contribuent à la création de v</w:t>
      </w:r>
      <w:r w:rsidRPr="005E625F">
        <w:rPr>
          <w:rFonts w:ascii="Aptos" w:hAnsi="Aptos"/>
        </w:rPr>
        <w:t>aleur et d’emplois qualifiés sur le continent. Saisir cette opportunité suppose de maîtriser à la fois les exigences réglementaires, les enjeux logistiques et les dynamiques institutionnelles — trois dimensions au cœur de l’expertise de SaniNova.</w:t>
      </w:r>
    </w:p>
    <w:p w14:paraId="6DAF51E9" w14:textId="77777777" w:rsidR="00886FAC" w:rsidRPr="005E625F" w:rsidRDefault="005E625F" w:rsidP="005E625F">
      <w:pPr>
        <w:pStyle w:val="Titre2"/>
        <w:jc w:val="both"/>
        <w:rPr>
          <w:rFonts w:ascii="Aptos" w:hAnsi="Aptos"/>
          <w:color w:val="FF0000"/>
        </w:rPr>
      </w:pPr>
      <w:r w:rsidRPr="005E625F">
        <w:rPr>
          <w:rFonts w:ascii="Aptos" w:hAnsi="Aptos"/>
          <w:color w:val="FF0000"/>
        </w:rPr>
        <w:t>Ce que Sa</w:t>
      </w:r>
      <w:r w:rsidRPr="005E625F">
        <w:rPr>
          <w:rFonts w:ascii="Aptos" w:hAnsi="Aptos"/>
          <w:color w:val="FF0000"/>
        </w:rPr>
        <w:t>niNova apporte au secteur pharmaceutique privé</w:t>
      </w:r>
    </w:p>
    <w:p w14:paraId="79E64736" w14:textId="77777777" w:rsidR="00886FAC" w:rsidRPr="005E625F" w:rsidRDefault="005E625F" w:rsidP="005E625F">
      <w:pPr>
        <w:spacing w:after="180"/>
        <w:jc w:val="both"/>
        <w:rPr>
          <w:rFonts w:ascii="Aptos" w:hAnsi="Aptos"/>
        </w:rPr>
      </w:pPr>
      <w:r w:rsidRPr="005E625F">
        <w:rPr>
          <w:rFonts w:ascii="Aptos" w:hAnsi="Aptos"/>
        </w:rPr>
        <w:t>SaniNova accompagne les acteurs privés du secteur pharmaceutique à chaque étape de leur développement en Afrique : analyse des marchés et des contextes réglementaires, stratégie d’enregistrement et de conformi</w:t>
      </w:r>
      <w:r w:rsidRPr="005E625F">
        <w:rPr>
          <w:rFonts w:ascii="Aptos" w:hAnsi="Aptos"/>
        </w:rPr>
        <w:t>té, optimisation des chaînes d’approvisionnement, déploiement de systèmes de traçabilité, appui à la mise à niveau des systèmes qualité, et facilitation des relations avec les autorités réglementaires et les acheteurs institutionnels.</w:t>
      </w:r>
    </w:p>
    <w:p w14:paraId="1246E538" w14:textId="77777777" w:rsidR="00886FAC" w:rsidRPr="005E625F" w:rsidRDefault="005E625F" w:rsidP="005E625F">
      <w:pPr>
        <w:spacing w:after="180"/>
        <w:jc w:val="both"/>
        <w:rPr>
          <w:rFonts w:ascii="Aptos" w:hAnsi="Aptos"/>
        </w:rPr>
      </w:pPr>
      <w:r w:rsidRPr="005E625F">
        <w:rPr>
          <w:rFonts w:ascii="Aptos" w:hAnsi="Aptos"/>
        </w:rPr>
        <w:t xml:space="preserve">Dans un marché aussi </w:t>
      </w:r>
      <w:r w:rsidRPr="005E625F">
        <w:rPr>
          <w:rFonts w:ascii="Aptos" w:hAnsi="Aptos"/>
        </w:rPr>
        <w:t>dynamique que celui de la santé en Afrique, la conformité n’est pas un frein à la croissance — c’est son meilleur accélérateur. Les acteurs qui le comprennent tôt prendront une longueur d’avance durable. C’est cette conviction que nous mettons au service d</w:t>
      </w:r>
      <w:r w:rsidRPr="005E625F">
        <w:rPr>
          <w:rFonts w:ascii="Aptos" w:hAnsi="Aptos"/>
        </w:rPr>
        <w:t>e nos partenaires privés.</w:t>
      </w:r>
    </w:p>
    <w:p w14:paraId="44D45FE6" w14:textId="77777777" w:rsidR="00886FAC" w:rsidRPr="005E625F" w:rsidRDefault="00886FAC" w:rsidP="005E625F">
      <w:pPr>
        <w:pBdr>
          <w:bottom w:val="single" w:sz="4" w:space="1" w:color="CCCCCC"/>
        </w:pBdr>
        <w:spacing w:before="240" w:after="240"/>
        <w:jc w:val="both"/>
        <w:rPr>
          <w:rFonts w:ascii="Aptos" w:hAnsi="Aptos"/>
        </w:rPr>
      </w:pPr>
    </w:p>
    <w:p w14:paraId="226FCA21" w14:textId="77777777" w:rsidR="00886FAC" w:rsidRPr="005E625F" w:rsidRDefault="005E625F" w:rsidP="005E625F">
      <w:pPr>
        <w:spacing w:before="120" w:after="120"/>
        <w:jc w:val="both"/>
        <w:rPr>
          <w:rFonts w:ascii="Aptos" w:hAnsi="Aptos"/>
        </w:rPr>
      </w:pPr>
      <w:r w:rsidRPr="005E625F">
        <w:rPr>
          <w:rFonts w:ascii="Aptos" w:hAnsi="Aptos"/>
          <w:b/>
          <w:bCs/>
          <w:color w:val="333333"/>
          <w:sz w:val="20"/>
          <w:szCs w:val="20"/>
        </w:rPr>
        <w:t>Références bibliographiques</w:t>
      </w:r>
    </w:p>
    <w:p w14:paraId="35AA2A15" w14:textId="77777777" w:rsidR="00886FAC" w:rsidRPr="005E625F" w:rsidRDefault="005E625F" w:rsidP="005E625F">
      <w:pPr>
        <w:pStyle w:val="Paragraphedeliste"/>
        <w:numPr>
          <w:ilvl w:val="0"/>
          <w:numId w:val="2"/>
        </w:numPr>
        <w:spacing w:after="80"/>
        <w:jc w:val="both"/>
        <w:rPr>
          <w:rFonts w:ascii="Aptos" w:hAnsi="Aptos"/>
        </w:rPr>
      </w:pPr>
      <w:r w:rsidRPr="005E625F">
        <w:rPr>
          <w:rFonts w:ascii="Aptos" w:hAnsi="Aptos"/>
          <w:color w:val="555555"/>
          <w:sz w:val="18"/>
          <w:szCs w:val="18"/>
          <w:lang w:val="en-US"/>
        </w:rPr>
        <w:t xml:space="preserve">McKinsey Global Institute &amp; Africa Health Business. The Future of Healthcare in Africa: Market Outlook to 2030. </w:t>
      </w:r>
      <w:r w:rsidRPr="005E625F">
        <w:rPr>
          <w:rFonts w:ascii="Aptos" w:hAnsi="Aptos"/>
          <w:color w:val="555555"/>
          <w:sz w:val="18"/>
          <w:szCs w:val="18"/>
        </w:rPr>
        <w:t>Johannesburg : McKinsey, 2022.</w:t>
      </w:r>
    </w:p>
    <w:p w14:paraId="5C1D3627" w14:textId="77777777" w:rsidR="00886FAC" w:rsidRPr="005E625F" w:rsidRDefault="005E625F" w:rsidP="005E625F">
      <w:pPr>
        <w:pStyle w:val="Paragraphedeliste"/>
        <w:numPr>
          <w:ilvl w:val="0"/>
          <w:numId w:val="2"/>
        </w:numPr>
        <w:spacing w:after="80"/>
        <w:jc w:val="both"/>
        <w:rPr>
          <w:rFonts w:ascii="Aptos" w:hAnsi="Aptos"/>
        </w:rPr>
      </w:pPr>
      <w:r w:rsidRPr="005E625F">
        <w:rPr>
          <w:rFonts w:ascii="Aptos" w:hAnsi="Aptos"/>
          <w:color w:val="555555"/>
          <w:sz w:val="18"/>
          <w:szCs w:val="18"/>
          <w:lang w:val="en-US"/>
        </w:rPr>
        <w:t>African Union. Pharmaceutical Manufacturing Plan for Afric</w:t>
      </w:r>
      <w:r w:rsidRPr="005E625F">
        <w:rPr>
          <w:rFonts w:ascii="Aptos" w:hAnsi="Aptos"/>
          <w:color w:val="555555"/>
          <w:sz w:val="18"/>
          <w:szCs w:val="18"/>
          <w:lang w:val="en-US"/>
        </w:rPr>
        <w:t xml:space="preserve">a (PMPA) and Pharma 2030 Initiative. </w:t>
      </w:r>
      <w:r w:rsidRPr="005E625F">
        <w:rPr>
          <w:rFonts w:ascii="Aptos" w:hAnsi="Aptos"/>
          <w:color w:val="555555"/>
          <w:sz w:val="18"/>
          <w:szCs w:val="18"/>
        </w:rPr>
        <w:t xml:space="preserve">Addis </w:t>
      </w:r>
      <w:proofErr w:type="spellStart"/>
      <w:r w:rsidRPr="005E625F">
        <w:rPr>
          <w:rFonts w:ascii="Aptos" w:hAnsi="Aptos"/>
          <w:color w:val="555555"/>
          <w:sz w:val="18"/>
          <w:szCs w:val="18"/>
        </w:rPr>
        <w:t>Ababa</w:t>
      </w:r>
      <w:proofErr w:type="spellEnd"/>
      <w:r w:rsidRPr="005E625F">
        <w:rPr>
          <w:rFonts w:ascii="Aptos" w:hAnsi="Aptos"/>
          <w:color w:val="555555"/>
          <w:sz w:val="18"/>
          <w:szCs w:val="18"/>
        </w:rPr>
        <w:t xml:space="preserve"> : </w:t>
      </w:r>
      <w:proofErr w:type="spellStart"/>
      <w:r w:rsidRPr="005E625F">
        <w:rPr>
          <w:rFonts w:ascii="Aptos" w:hAnsi="Aptos"/>
          <w:color w:val="555555"/>
          <w:sz w:val="18"/>
          <w:szCs w:val="18"/>
        </w:rPr>
        <w:t>African</w:t>
      </w:r>
      <w:proofErr w:type="spellEnd"/>
      <w:r w:rsidRPr="005E625F">
        <w:rPr>
          <w:rFonts w:ascii="Aptos" w:hAnsi="Aptos"/>
          <w:color w:val="555555"/>
          <w:sz w:val="18"/>
          <w:szCs w:val="18"/>
        </w:rPr>
        <w:t xml:space="preserve"> Union, 2023.</w:t>
      </w:r>
    </w:p>
    <w:p w14:paraId="67B35DCB" w14:textId="77777777" w:rsidR="00886FAC" w:rsidRPr="005E625F" w:rsidRDefault="005E625F" w:rsidP="005E625F">
      <w:pPr>
        <w:pStyle w:val="Paragraphedeliste"/>
        <w:numPr>
          <w:ilvl w:val="0"/>
          <w:numId w:val="2"/>
        </w:numPr>
        <w:spacing w:after="80"/>
        <w:jc w:val="both"/>
        <w:rPr>
          <w:rFonts w:ascii="Aptos" w:hAnsi="Aptos"/>
        </w:rPr>
      </w:pPr>
      <w:r w:rsidRPr="005E625F">
        <w:rPr>
          <w:rFonts w:ascii="Aptos" w:hAnsi="Aptos"/>
          <w:color w:val="555555"/>
          <w:sz w:val="18"/>
          <w:szCs w:val="18"/>
          <w:lang w:val="en-US"/>
        </w:rPr>
        <w:t xml:space="preserve">GS1 Healthcare &amp; WHO. Global Traceability Standards for Medical Products: Reference Framework. </w:t>
      </w:r>
      <w:r w:rsidRPr="005E625F">
        <w:rPr>
          <w:rFonts w:ascii="Aptos" w:hAnsi="Aptos"/>
          <w:color w:val="555555"/>
          <w:sz w:val="18"/>
          <w:szCs w:val="18"/>
        </w:rPr>
        <w:t>Brussels / Geneva : GS1 Healthcare / WHO, 2023.</w:t>
      </w:r>
    </w:p>
    <w:sectPr w:rsidR="00886FAC" w:rsidRPr="005E62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44AA1"/>
    <w:multiLevelType w:val="hybridMultilevel"/>
    <w:tmpl w:val="9B3E0488"/>
    <w:lvl w:ilvl="0" w:tplc="2052691A">
      <w:start w:val="1"/>
      <w:numFmt w:val="bullet"/>
      <w:lvlText w:val="●"/>
      <w:lvlJc w:val="left"/>
      <w:pPr>
        <w:ind w:left="720" w:hanging="360"/>
      </w:pPr>
    </w:lvl>
    <w:lvl w:ilvl="1" w:tplc="7D1AD434">
      <w:start w:val="1"/>
      <w:numFmt w:val="bullet"/>
      <w:lvlText w:val="○"/>
      <w:lvlJc w:val="left"/>
      <w:pPr>
        <w:ind w:left="1440" w:hanging="360"/>
      </w:pPr>
    </w:lvl>
    <w:lvl w:ilvl="2" w:tplc="48985C76">
      <w:start w:val="1"/>
      <w:numFmt w:val="bullet"/>
      <w:lvlText w:val="■"/>
      <w:lvlJc w:val="left"/>
      <w:pPr>
        <w:ind w:left="2160" w:hanging="360"/>
      </w:pPr>
    </w:lvl>
    <w:lvl w:ilvl="3" w:tplc="B76055E4">
      <w:start w:val="1"/>
      <w:numFmt w:val="bullet"/>
      <w:lvlText w:val="●"/>
      <w:lvlJc w:val="left"/>
      <w:pPr>
        <w:ind w:left="2880" w:hanging="360"/>
      </w:pPr>
    </w:lvl>
    <w:lvl w:ilvl="4" w:tplc="6ADAA41A">
      <w:start w:val="1"/>
      <w:numFmt w:val="bullet"/>
      <w:lvlText w:val="○"/>
      <w:lvlJc w:val="left"/>
      <w:pPr>
        <w:ind w:left="3600" w:hanging="360"/>
      </w:pPr>
    </w:lvl>
    <w:lvl w:ilvl="5" w:tplc="F3F0C63A">
      <w:start w:val="1"/>
      <w:numFmt w:val="bullet"/>
      <w:lvlText w:val="■"/>
      <w:lvlJc w:val="left"/>
      <w:pPr>
        <w:ind w:left="4320" w:hanging="360"/>
      </w:pPr>
    </w:lvl>
    <w:lvl w:ilvl="6" w:tplc="5442BC00">
      <w:start w:val="1"/>
      <w:numFmt w:val="bullet"/>
      <w:lvlText w:val="●"/>
      <w:lvlJc w:val="left"/>
      <w:pPr>
        <w:ind w:left="5040" w:hanging="360"/>
      </w:pPr>
    </w:lvl>
    <w:lvl w:ilvl="7" w:tplc="DC26527E">
      <w:start w:val="1"/>
      <w:numFmt w:val="bullet"/>
      <w:lvlText w:val="●"/>
      <w:lvlJc w:val="left"/>
      <w:pPr>
        <w:ind w:left="5760" w:hanging="360"/>
      </w:pPr>
    </w:lvl>
    <w:lvl w:ilvl="8" w:tplc="170ECFBA">
      <w:start w:val="1"/>
      <w:numFmt w:val="bullet"/>
      <w:lvlText w:val="●"/>
      <w:lvlJc w:val="left"/>
      <w:pPr>
        <w:ind w:left="6480" w:hanging="360"/>
      </w:pPr>
    </w:lvl>
  </w:abstractNum>
  <w:abstractNum w:abstractNumId="1" w15:restartNumberingAfterBreak="0">
    <w:nsid w:val="5ABC1B36"/>
    <w:multiLevelType w:val="hybridMultilevel"/>
    <w:tmpl w:val="59E8936C"/>
    <w:lvl w:ilvl="0" w:tplc="323A248C">
      <w:start w:val="1"/>
      <w:numFmt w:val="decimal"/>
      <w:lvlText w:val="[%1]"/>
      <w:lvlJc w:val="left"/>
      <w:pPr>
        <w:ind w:left="540" w:hanging="360"/>
      </w:pPr>
    </w:lvl>
    <w:lvl w:ilvl="1" w:tplc="6B04E170">
      <w:numFmt w:val="decimal"/>
      <w:lvlText w:val=""/>
      <w:lvlJc w:val="left"/>
    </w:lvl>
    <w:lvl w:ilvl="2" w:tplc="39FCD45A">
      <w:numFmt w:val="decimal"/>
      <w:lvlText w:val=""/>
      <w:lvlJc w:val="left"/>
    </w:lvl>
    <w:lvl w:ilvl="3" w:tplc="047A3C38">
      <w:numFmt w:val="decimal"/>
      <w:lvlText w:val=""/>
      <w:lvlJc w:val="left"/>
    </w:lvl>
    <w:lvl w:ilvl="4" w:tplc="A07655FA">
      <w:numFmt w:val="decimal"/>
      <w:lvlText w:val=""/>
      <w:lvlJc w:val="left"/>
    </w:lvl>
    <w:lvl w:ilvl="5" w:tplc="C88AF1C8">
      <w:numFmt w:val="decimal"/>
      <w:lvlText w:val=""/>
      <w:lvlJc w:val="left"/>
    </w:lvl>
    <w:lvl w:ilvl="6" w:tplc="16B6B046">
      <w:numFmt w:val="decimal"/>
      <w:lvlText w:val=""/>
      <w:lvlJc w:val="left"/>
    </w:lvl>
    <w:lvl w:ilvl="7" w:tplc="F8A6B772">
      <w:numFmt w:val="decimal"/>
      <w:lvlText w:val=""/>
      <w:lvlJc w:val="left"/>
    </w:lvl>
    <w:lvl w:ilvl="8" w:tplc="47DC473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FAC"/>
    <w:rsid w:val="005E625F"/>
    <w:rsid w:val="00886F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9F454"/>
  <w15:docId w15:val="{0843630D-FD75-4D2A-80E4-9982C058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1075</Words>
  <Characters>5915</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2026-05-29T22:38:00Z</dcterms:created>
  <dcterms:modified xsi:type="dcterms:W3CDTF">2026-05-29T22:38:00Z</dcterms:modified>
</cp:coreProperties>
</file>