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harts/chart5.xml" ContentType="application/vnd.openxmlformats-officedocument.drawingml.chart+xml"/>
  <Override PartName="/word/charts/chart4.xml" ContentType="application/vnd.openxmlformats-officedocument.drawingml.chart+xml"/>
  <Override PartName="/word/charts/chart3.xml" ContentType="application/vnd.openxmlformats-officedocument.drawingml.chart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0"/>
        <w:ind w:left="0" w:right="0" w:firstLine="284"/>
        <w:jc w:val="both"/>
        <w:rPr>
          <w:rFonts w:cs="Georgia" w:ascii="Sylfaen" w:hAnsi="Sylfaen"/>
          <w:color w:val="FF0000"/>
          <w:sz w:val="40"/>
          <w:szCs w:val="40"/>
          <w:lang w:val="en-US"/>
        </w:rPr>
      </w:pPr>
      <w:r>
        <w:rPr>
          <w:rFonts w:cs="Georgia" w:ascii="Sylfaen" w:hAnsi="Sylfaen"/>
          <w:color w:val="FF0000"/>
          <w:sz w:val="40"/>
          <w:szCs w:val="40"/>
        </w:rPr>
        <w:t>Հիմնական նպատակը</w:t>
      </w:r>
      <w:r>
        <w:rPr>
          <w:rFonts w:cs="Georgia" w:ascii="Sylfaen" w:hAnsi="Sylfaen"/>
          <w:color w:val="FF0000"/>
          <w:sz w:val="40"/>
          <w:szCs w:val="40"/>
          <w:lang w:val="en-US"/>
        </w:rPr>
        <w:t>՝</w:t>
      </w:r>
    </w:p>
    <w:p>
      <w:pPr>
        <w:pStyle w:val="Normal"/>
        <w:spacing w:lineRule="auto" w:line="360" w:before="0" w:after="0"/>
        <w:ind w:left="0" w:right="0" w:firstLine="284"/>
        <w:jc w:val="center"/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</w:pPr>
      <w:r>
        <w:rPr>
          <w:rFonts w:cs="Georgia" w:ascii="Sylfaen" w:hAnsi="Sylfaen"/>
          <w:b/>
          <w:color w:val="000000"/>
          <w:sz w:val="40"/>
          <w:szCs w:val="40"/>
          <w:u w:val="single"/>
        </w:rPr>
        <w:t>Կայքի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 xml:space="preserve"> </w:t>
      </w:r>
      <w:r>
        <w:rPr>
          <w:rFonts w:cs="Georgia" w:ascii="Sylfaen" w:hAnsi="Sylfaen"/>
          <w:b/>
          <w:color w:val="000000"/>
          <w:sz w:val="40"/>
          <w:szCs w:val="40"/>
          <w:u w:val="single"/>
        </w:rPr>
        <w:t>ստեղծում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 xml:space="preserve">, </w:t>
      </w:r>
      <w:r>
        <w:rPr>
          <w:rFonts w:cs="Georgia" w:ascii="Sylfaen" w:hAnsi="Sylfaen"/>
          <w:b/>
          <w:color w:val="000000"/>
          <w:sz w:val="40"/>
          <w:szCs w:val="40"/>
          <w:u w:val="single"/>
        </w:rPr>
        <w:t>որը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 xml:space="preserve"> </w:t>
      </w:r>
      <w:r>
        <w:rPr>
          <w:rFonts w:cs="Georgia" w:ascii="Sylfaen" w:hAnsi="Sylfaen"/>
          <w:b/>
          <w:color w:val="000000"/>
          <w:sz w:val="40"/>
          <w:szCs w:val="40"/>
          <w:u w:val="single"/>
        </w:rPr>
        <w:t>կլինի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 xml:space="preserve"> </w:t>
      </w:r>
      <w:r>
        <w:rPr>
          <w:rFonts w:cs="Georgia" w:ascii="Sylfaen" w:hAnsi="Sylfaen"/>
          <w:b/>
          <w:color w:val="000000"/>
          <w:sz w:val="40"/>
          <w:szCs w:val="40"/>
          <w:u w:val="single"/>
        </w:rPr>
        <w:t>ֆոնդային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 xml:space="preserve"> </w:t>
      </w:r>
      <w:r>
        <w:rPr>
          <w:rFonts w:cs="Georgia" w:ascii="Sylfaen" w:hAnsi="Sylfaen"/>
          <w:b/>
          <w:color w:val="000000"/>
          <w:sz w:val="40"/>
          <w:szCs w:val="40"/>
          <w:u w:val="single"/>
        </w:rPr>
        <w:t>ինդեքսերով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 xml:space="preserve"> </w:t>
      </w:r>
      <w:r>
        <w:rPr>
          <w:rFonts w:cs="Georgia" w:ascii="Sylfaen" w:hAnsi="Sylfaen"/>
          <w:b/>
          <w:color w:val="000000"/>
          <w:sz w:val="40"/>
          <w:szCs w:val="40"/>
          <w:u w:val="single"/>
        </w:rPr>
        <w:t>և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 xml:space="preserve"> </w:t>
      </w:r>
      <w:r>
        <w:rPr>
          <w:rFonts w:cs="Georgia" w:ascii="Sylfaen" w:hAnsi="Sylfaen"/>
          <w:b/>
          <w:color w:val="000000"/>
          <w:sz w:val="40"/>
          <w:szCs w:val="40"/>
          <w:u w:val="single"/>
        </w:rPr>
        <w:t>ՏՀԶԿ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 xml:space="preserve">(OECD  </w:t>
      </w:r>
      <w:r>
        <w:rPr>
          <w:rFonts w:ascii="Arial Armenian" w:hAnsi="Arial Armenian"/>
          <w:color w:val="000000"/>
          <w:sz w:val="32"/>
          <w:szCs w:val="32"/>
          <w:u w:val="single"/>
          <w:lang w:val="en-US"/>
        </w:rPr>
        <w:t>Organisation for Economic Co-operation and Development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 xml:space="preserve">)  </w:t>
      </w:r>
      <w:r>
        <w:rPr>
          <w:rFonts w:cs="Georgia" w:ascii="Sylfaen" w:hAnsi="Sylfaen"/>
          <w:b/>
          <w:color w:val="000000"/>
          <w:sz w:val="40"/>
          <w:szCs w:val="40"/>
          <w:u w:val="single"/>
        </w:rPr>
        <w:t>կազմակերպության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 xml:space="preserve"> </w:t>
      </w:r>
      <w:r>
        <w:rPr>
          <w:rFonts w:cs="Georgia" w:ascii="Sylfaen" w:hAnsi="Sylfaen"/>
          <w:b/>
          <w:color w:val="000000"/>
          <w:sz w:val="40"/>
          <w:szCs w:val="40"/>
          <w:u w:val="single"/>
        </w:rPr>
        <w:t>ՀՆԱ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>-</w:t>
      </w:r>
      <w:r>
        <w:rPr>
          <w:rFonts w:cs="Georgia" w:ascii="Sylfaen" w:hAnsi="Sylfaen"/>
          <w:b/>
          <w:color w:val="000000"/>
          <w:sz w:val="40"/>
          <w:szCs w:val="40"/>
          <w:u w:val="single"/>
        </w:rPr>
        <w:t>ի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 xml:space="preserve"> </w:t>
      </w:r>
      <w:r>
        <w:rPr>
          <w:rFonts w:cs="Georgia" w:ascii="Sylfaen" w:hAnsi="Sylfaen"/>
          <w:b/>
          <w:color w:val="000000"/>
          <w:sz w:val="40"/>
          <w:szCs w:val="40"/>
          <w:u w:val="single"/>
        </w:rPr>
        <w:t>կառուցվածքին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 xml:space="preserve"> </w:t>
      </w:r>
      <w:r>
        <w:rPr>
          <w:rFonts w:cs="Georgia" w:ascii="Sylfaen" w:hAnsi="Sylfaen"/>
          <w:b/>
          <w:color w:val="000000"/>
          <w:sz w:val="40"/>
          <w:szCs w:val="40"/>
          <w:u w:val="single"/>
        </w:rPr>
        <w:t>համապատասխան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 xml:space="preserve">  </w:t>
      </w:r>
      <w:r>
        <w:rPr>
          <w:rFonts w:cs="Georgia" w:ascii="Sylfaen" w:hAnsi="Sylfaen"/>
          <w:b/>
          <w:color w:val="000000"/>
          <w:sz w:val="40"/>
          <w:szCs w:val="40"/>
          <w:u w:val="single"/>
        </w:rPr>
        <w:t>ստեղծված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 xml:space="preserve"> </w:t>
      </w:r>
      <w:r>
        <w:rPr>
          <w:rFonts w:cs="Georgia" w:ascii="Sylfaen" w:hAnsi="Sylfaen"/>
          <w:b/>
          <w:color w:val="000000"/>
          <w:sz w:val="40"/>
          <w:szCs w:val="40"/>
          <w:u w:val="single"/>
        </w:rPr>
        <w:t>նոր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 xml:space="preserve"> </w:t>
      </w:r>
      <w:r>
        <w:rPr>
          <w:rFonts w:cs="Georgia" w:ascii="Sylfaen" w:hAnsi="Sylfaen"/>
          <w:b/>
          <w:color w:val="000000"/>
          <w:sz w:val="40"/>
          <w:szCs w:val="40"/>
          <w:u w:val="single"/>
        </w:rPr>
        <w:t>արժեթղթերի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 xml:space="preserve"> </w:t>
      </w:r>
      <w:r>
        <w:rPr>
          <w:rFonts w:cs="Georgia" w:ascii="Sylfaen" w:hAnsi="Sylfaen"/>
          <w:b/>
          <w:color w:val="000000"/>
          <w:sz w:val="40"/>
          <w:szCs w:val="40"/>
          <w:u w:val="single"/>
        </w:rPr>
        <w:t>առքուվաճառքի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 xml:space="preserve"> </w:t>
      </w:r>
      <w:r>
        <w:rPr>
          <w:rFonts w:cs="Georgia" w:ascii="Sylfaen" w:hAnsi="Sylfaen"/>
          <w:b/>
          <w:color w:val="000000"/>
          <w:sz w:val="40"/>
          <w:szCs w:val="40"/>
          <w:u w:val="single"/>
        </w:rPr>
        <w:t>կազմակերպման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 xml:space="preserve">, </w:t>
      </w:r>
      <w:r>
        <w:rPr>
          <w:rFonts w:cs="Georgia" w:ascii="Sylfaen" w:hAnsi="Sylfaen"/>
          <w:b/>
          <w:color w:val="000000"/>
          <w:sz w:val="40"/>
          <w:szCs w:val="40"/>
          <w:u w:val="single"/>
        </w:rPr>
        <w:t>ընդհանուր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 xml:space="preserve"> </w:t>
      </w:r>
      <w:r>
        <w:rPr>
          <w:rFonts w:cs="Georgia" w:ascii="Sylfaen" w:hAnsi="Sylfaen"/>
          <w:b/>
          <w:color w:val="000000"/>
          <w:sz w:val="40"/>
          <w:szCs w:val="40"/>
          <w:u w:val="single"/>
        </w:rPr>
        <w:t>շարժի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 xml:space="preserve"> </w:t>
      </w:r>
      <w:r>
        <w:rPr>
          <w:rFonts w:cs="Georgia" w:ascii="Sylfaen" w:hAnsi="Sylfaen"/>
          <w:b/>
          <w:color w:val="000000"/>
          <w:sz w:val="40"/>
          <w:szCs w:val="40"/>
          <w:u w:val="single"/>
        </w:rPr>
        <w:t>ներկայացման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 xml:space="preserve">, </w:t>
      </w:r>
      <w:r>
        <w:rPr>
          <w:rFonts w:cs="Georgia" w:ascii="Sylfaen" w:hAnsi="Sylfaen"/>
          <w:b/>
          <w:color w:val="000000"/>
          <w:sz w:val="40"/>
          <w:szCs w:val="40"/>
          <w:u w:val="single"/>
        </w:rPr>
        <w:t>ներդրումների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 xml:space="preserve"> </w:t>
      </w:r>
      <w:r>
        <w:rPr>
          <w:rFonts w:cs="Georgia" w:ascii="Sylfaen" w:hAnsi="Sylfaen"/>
          <w:b/>
          <w:color w:val="000000"/>
          <w:sz w:val="40"/>
          <w:szCs w:val="40"/>
          <w:u w:val="single"/>
        </w:rPr>
        <w:t>իրականացման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 xml:space="preserve"> </w:t>
      </w:r>
      <w:r>
        <w:rPr>
          <w:rFonts w:cs="Georgia" w:ascii="Sylfaen" w:hAnsi="Sylfaen"/>
          <w:b/>
          <w:color w:val="000000"/>
          <w:sz w:val="40"/>
          <w:szCs w:val="40"/>
          <w:u w:val="single"/>
        </w:rPr>
        <w:t>շուկա՝երկրորդային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 xml:space="preserve">  </w:t>
      </w:r>
      <w:r>
        <w:rPr>
          <w:rFonts w:cs="Georgia" w:ascii="Sylfaen" w:hAnsi="Sylfaen"/>
          <w:b/>
          <w:color w:val="000000"/>
          <w:sz w:val="40"/>
          <w:szCs w:val="40"/>
          <w:u w:val="single"/>
        </w:rPr>
        <w:t>ֆոնդային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 xml:space="preserve"> </w:t>
      </w:r>
      <w:r>
        <w:rPr>
          <w:rFonts w:cs="Georgia" w:ascii="Sylfaen" w:hAnsi="Sylfaen"/>
          <w:b/>
          <w:color w:val="000000"/>
          <w:sz w:val="40"/>
          <w:szCs w:val="40"/>
          <w:u w:val="single"/>
        </w:rPr>
        <w:t>բորսա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 xml:space="preserve"> </w:t>
      </w:r>
    </w:p>
    <w:p>
      <w:pPr>
        <w:pStyle w:val="Normal"/>
        <w:spacing w:lineRule="auto" w:line="360" w:before="0" w:after="0"/>
        <w:ind w:left="0" w:right="0" w:firstLine="284"/>
        <w:jc w:val="center"/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</w:pP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cs="Georgia" w:ascii="Sylfaen" w:hAnsi="Sylfaen"/>
          <w:color w:val="000000"/>
          <w:sz w:val="40"/>
          <w:szCs w:val="40"/>
          <w:lang w:val="en-US"/>
        </w:rPr>
      </w:pPr>
      <w:r>
        <w:rPr>
          <w:rFonts w:cs="Georgia" w:ascii="Sylfaen" w:hAnsi="Sylfaen"/>
          <w:color w:val="000000"/>
          <w:sz w:val="40"/>
          <w:szCs w:val="40"/>
          <w:lang w:val="en-US"/>
        </w:rPr>
        <w:t>(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 xml:space="preserve">About 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 xml:space="preserve">web 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>site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>)</w:t>
      </w:r>
      <w:r>
        <w:rPr>
          <w:rFonts w:cs="Georgia" w:ascii="Sylfaen" w:hAnsi="Sylfaen"/>
          <w:color w:val="000000"/>
          <w:sz w:val="40"/>
          <w:szCs w:val="40"/>
        </w:rPr>
        <w:t>Շուկայի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ընդհանուր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ռազմավարությունը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ներկայացնող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 </w:t>
      </w:r>
      <w:r>
        <w:rPr>
          <w:rFonts w:cs="Georgia" w:ascii="Sylfaen" w:hAnsi="Sylfaen"/>
          <w:color w:val="000000"/>
          <w:sz w:val="40"/>
          <w:szCs w:val="40"/>
        </w:rPr>
        <w:t>բաժնի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առանձնացում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>(</w:t>
      </w:r>
      <w:r>
        <w:rPr>
          <w:rFonts w:cs="Georgia" w:ascii="Sylfaen" w:hAnsi="Sylfaen"/>
          <w:color w:val="000000"/>
          <w:sz w:val="40"/>
          <w:szCs w:val="40"/>
        </w:rPr>
        <w:t>էջի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վերևում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ներկայացվող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բաժին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, </w:t>
      </w:r>
      <w:r>
        <w:rPr>
          <w:rFonts w:cs="Georgia" w:ascii="Sylfaen" w:hAnsi="Sylfaen"/>
          <w:color w:val="000000"/>
          <w:sz w:val="40"/>
          <w:szCs w:val="40"/>
        </w:rPr>
        <w:t>որը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 </w:t>
      </w:r>
      <w:r>
        <w:rPr>
          <w:rFonts w:cs="Georgia" w:ascii="Sylfaen" w:hAnsi="Sylfaen"/>
          <w:color w:val="000000"/>
          <w:sz w:val="40"/>
          <w:szCs w:val="40"/>
        </w:rPr>
        <w:t>մկնիկի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սեղմումով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բացում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է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տեքստային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ֆայլ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>):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cs="Georgia" w:ascii="Sylfaen" w:hAnsi="Sylfaen"/>
          <w:color w:val="000000"/>
          <w:sz w:val="40"/>
          <w:szCs w:val="40"/>
          <w:lang w:val="en-US"/>
        </w:rPr>
      </w:pPr>
      <w:r>
        <w:rPr>
          <w:rFonts w:cs="Georgia" w:ascii="Sylfaen" w:hAnsi="Sylfaen"/>
          <w:color w:val="000000"/>
          <w:sz w:val="40"/>
          <w:szCs w:val="40"/>
          <w:lang w:val="en-US"/>
        </w:rPr>
        <w:t>(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>The structure of index tool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)</w:t>
      </w:r>
      <w:r>
        <w:rPr>
          <w:rFonts w:cs="Georgia" w:ascii="Sylfaen" w:hAnsi="Sylfaen"/>
          <w:color w:val="000000"/>
          <w:sz w:val="40"/>
          <w:szCs w:val="40"/>
        </w:rPr>
        <w:t>Շուկայում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ներկայացվող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արժեթղթի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կառուցվածքային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սկզբունքների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բնորոշում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>(</w:t>
      </w:r>
      <w:r>
        <w:rPr>
          <w:rFonts w:cs="Georgia" w:ascii="Sylfaen" w:hAnsi="Sylfaen"/>
          <w:color w:val="000000"/>
          <w:sz w:val="40"/>
          <w:szCs w:val="40"/>
        </w:rPr>
        <w:t>էջի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վերևում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ներկայացվող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բաժին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, </w:t>
      </w:r>
      <w:r>
        <w:rPr>
          <w:rFonts w:cs="Georgia" w:ascii="Sylfaen" w:hAnsi="Sylfaen"/>
          <w:color w:val="000000"/>
          <w:sz w:val="40"/>
          <w:szCs w:val="40"/>
        </w:rPr>
        <w:t>որը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 </w:t>
      </w:r>
      <w:r>
        <w:rPr>
          <w:rFonts w:cs="Georgia" w:ascii="Sylfaen" w:hAnsi="Sylfaen"/>
          <w:color w:val="000000"/>
          <w:sz w:val="40"/>
          <w:szCs w:val="40"/>
        </w:rPr>
        <w:t>մկնիկի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սեղմումով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բացում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է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տեքստային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ֆայլ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>):</w:t>
      </w:r>
    </w:p>
    <w:p>
      <w:pPr>
        <w:pStyle w:val="ListParagraph"/>
        <w:spacing w:lineRule="auto" w:line="360" w:before="0" w:after="0"/>
        <w:ind w:left="644" w:right="0" w:hanging="0"/>
        <w:contextualSpacing/>
        <w:jc w:val="both"/>
        <w:rPr>
          <w:rFonts w:cs="Georgia" w:ascii="Sylfaen" w:hAnsi="Sylfaen"/>
          <w:color w:val="000000"/>
          <w:sz w:val="40"/>
          <w:szCs w:val="40"/>
          <w:lang w:val="en-US"/>
        </w:rPr>
      </w:pPr>
      <w:r>
        <w:rPr>
          <w:rFonts w:cs="Georgia" w:ascii="Sylfaen" w:hAnsi="Sylfaen"/>
          <w:color w:val="000000"/>
          <w:sz w:val="40"/>
          <w:szCs w:val="40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cs="Georgia" w:ascii="Sylfaen" w:hAnsi="Sylfaen"/>
          <w:color w:val="000000"/>
          <w:sz w:val="40"/>
          <w:szCs w:val="40"/>
          <w:lang w:val="en-US"/>
        </w:rPr>
      </w:pPr>
      <w:r>
        <w:rPr>
          <w:rFonts w:cs="Georgia" w:ascii="Sylfaen" w:hAnsi="Sylfaen"/>
          <w:color w:val="000000"/>
          <w:sz w:val="40"/>
          <w:szCs w:val="40"/>
          <w:lang w:val="en-US"/>
        </w:rPr>
        <w:t>(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>The price of index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>)Ս</w:t>
      </w:r>
      <w:r>
        <w:rPr>
          <w:rFonts w:cs="Georgia" w:ascii="Sylfaen" w:hAnsi="Sylfaen"/>
          <w:color w:val="000000"/>
          <w:sz w:val="40"/>
          <w:szCs w:val="40"/>
        </w:rPr>
        <w:t>տեղծվելիք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շուկայի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բաժնետոմսի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գնի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որոշում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, </w:t>
      </w:r>
      <w:r>
        <w:rPr>
          <w:rFonts w:cs="Georgia" w:ascii="Sylfaen" w:hAnsi="Sylfaen"/>
          <w:color w:val="000000"/>
          <w:sz w:val="40"/>
          <w:szCs w:val="40"/>
        </w:rPr>
        <w:t>դրա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անընդատ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թարմացվող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տվյալների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ներկայացում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շուկայում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>(</w:t>
      </w:r>
      <w:r>
        <w:rPr>
          <w:rFonts w:cs="Georgia" w:ascii="Sylfaen" w:hAnsi="Sylfaen"/>
          <w:color w:val="000000"/>
          <w:sz w:val="40"/>
          <w:szCs w:val="40"/>
        </w:rPr>
        <w:t>գլխավոր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էջում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անընդհատ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շարժվող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գրաֆիկ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>):</w:t>
      </w:r>
    </w:p>
    <w:p>
      <w:pPr>
        <w:pStyle w:val="ListParagraph"/>
        <w:spacing w:lineRule="auto" w:line="360" w:before="0" w:after="0"/>
        <w:ind w:left="644" w:right="0" w:hanging="0"/>
        <w:contextualSpacing/>
        <w:jc w:val="both"/>
        <w:rPr/>
      </w:pPr>
      <w:r>
        <w:rPr/>
        <w:drawing>
          <wp:inline distT="0" distB="0" distL="0" distR="0">
            <wp:extent cx="5486400" cy="32004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cs="Georgia" w:ascii="Sylfaen" w:hAnsi="Sylfaen"/>
          <w:color w:val="000000"/>
          <w:sz w:val="40"/>
          <w:szCs w:val="40"/>
          <w:lang w:val="en-US"/>
        </w:rPr>
      </w:pPr>
      <w:r>
        <w:rPr>
          <w:rFonts w:cs="Georgia" w:ascii="Sylfaen" w:hAnsi="Sylfaen"/>
          <w:color w:val="000000"/>
          <w:sz w:val="40"/>
          <w:szCs w:val="40"/>
        </w:rPr>
        <w:t>Կապի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ապահովում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ՏՀԶԿ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կազմակերպության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ՀՆԱ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>-</w:t>
      </w:r>
      <w:r>
        <w:rPr>
          <w:rFonts w:cs="Georgia" w:ascii="Sylfaen" w:hAnsi="Sylfaen"/>
          <w:color w:val="000000"/>
          <w:sz w:val="40"/>
          <w:szCs w:val="40"/>
        </w:rPr>
        <w:t>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կառուցվածքի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 </w:t>
      </w:r>
      <w:r>
        <w:rPr>
          <w:rFonts w:cs="Georgia" w:ascii="Sylfaen" w:hAnsi="Sylfaen"/>
          <w:color w:val="000000"/>
          <w:sz w:val="40"/>
          <w:szCs w:val="40"/>
        </w:rPr>
        <w:t>ամենամյա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փոփոխությունների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հետ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, </w:t>
      </w:r>
      <w:r>
        <w:rPr>
          <w:rFonts w:cs="Georgia" w:ascii="Sylfaen" w:hAnsi="Sylfaen"/>
          <w:color w:val="000000"/>
          <w:sz w:val="40"/>
          <w:szCs w:val="40"/>
        </w:rPr>
        <w:t>առաջնային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ճյուղերի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ընտրություն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, </w:t>
      </w:r>
      <w:r>
        <w:rPr>
          <w:rFonts w:cs="Georgia" w:ascii="Sylfaen" w:hAnsi="Sylfaen"/>
          <w:color w:val="000000"/>
          <w:sz w:val="40"/>
          <w:szCs w:val="40"/>
        </w:rPr>
        <w:t>նոր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տոկոսային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հարաբերակցության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կազմում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: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cs="Georgia" w:ascii="Sylfaen" w:hAnsi="Sylfaen"/>
          <w:color w:val="000000"/>
          <w:sz w:val="40"/>
          <w:szCs w:val="40"/>
          <w:lang w:val="en-US"/>
        </w:rPr>
      </w:pPr>
      <w:r>
        <w:rPr>
          <w:rFonts w:cs="Georgia" w:ascii="Sylfaen" w:hAnsi="Sylfaen"/>
          <w:color w:val="000000"/>
          <w:sz w:val="40"/>
          <w:szCs w:val="40"/>
        </w:rPr>
        <w:t>Նոր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հարաբերակցությամբ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որոշված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ոլորտներին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համապատասխան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նախորոք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ընտրված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ֆոնդային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ինդեքսների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օնլայն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շուկաներում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ներկայացված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 </w:t>
      </w:r>
      <w:r>
        <w:rPr>
          <w:rFonts w:cs="Georgia" w:ascii="Sylfaen" w:hAnsi="Sylfaen"/>
          <w:color w:val="000000"/>
          <w:sz w:val="40"/>
          <w:szCs w:val="40"/>
        </w:rPr>
        <w:t>տվյալների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հետ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կապի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ապահովում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,  </w:t>
      </w:r>
      <w:r>
        <w:rPr>
          <w:rFonts w:cs="Georgia" w:ascii="Sylfaen" w:hAnsi="Sylfaen"/>
          <w:color w:val="000000"/>
          <w:sz w:val="40"/>
          <w:szCs w:val="40"/>
        </w:rPr>
        <w:t>ամեն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րոպե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տվյալների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թարմացում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>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cs="Georgia" w:ascii="Sylfaen" w:hAnsi="Sylfaen"/>
          <w:color w:val="000000"/>
          <w:sz w:val="40"/>
          <w:szCs w:val="40"/>
          <w:lang w:val="en-US"/>
        </w:rPr>
      </w:pPr>
      <w:r>
        <w:rPr>
          <w:rFonts w:cs="Georgia" w:ascii="Sylfaen" w:hAnsi="Sylfaen"/>
          <w:color w:val="000000"/>
          <w:sz w:val="40"/>
          <w:szCs w:val="40"/>
        </w:rPr>
        <w:t>Այս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կապերի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հիման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վրա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ստացված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տվյալների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>(</w:t>
      </w:r>
      <w:r>
        <w:rPr>
          <w:rFonts w:cs="Georgia" w:ascii="Sylfaen" w:hAnsi="Sylfaen"/>
          <w:color w:val="000000"/>
          <w:sz w:val="40"/>
          <w:szCs w:val="40"/>
        </w:rPr>
        <w:t>գների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) </w:t>
      </w:r>
      <w:r>
        <w:rPr>
          <w:rFonts w:cs="Georgia" w:ascii="Sylfaen" w:hAnsi="Sylfaen"/>
          <w:color w:val="000000"/>
          <w:sz w:val="40"/>
          <w:szCs w:val="40"/>
        </w:rPr>
        <w:t>ընդհանրացում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, </w:t>
      </w:r>
      <w:r>
        <w:rPr>
          <w:rFonts w:cs="Georgia" w:ascii="Sylfaen" w:hAnsi="Sylfaen"/>
          <w:color w:val="000000"/>
          <w:sz w:val="40"/>
          <w:szCs w:val="40"/>
        </w:rPr>
        <w:t>ինդեքսների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բաժնետոմսերի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ձեռքբերման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քանակի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որոշում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>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cs="Georgia" w:ascii="Sylfaen" w:hAnsi="Sylfaen"/>
          <w:color w:val="000000"/>
          <w:sz w:val="40"/>
          <w:szCs w:val="40"/>
          <w:lang w:val="en-US"/>
        </w:rPr>
      </w:pPr>
      <w:r>
        <w:rPr>
          <w:rFonts w:cs="Georgia" w:ascii="Sylfaen" w:hAnsi="Sylfaen"/>
          <w:color w:val="000000"/>
          <w:sz w:val="40"/>
          <w:szCs w:val="40"/>
        </w:rPr>
        <w:t>Ընդհանուր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ներդրումների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և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բաժնետոմսերի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քանակի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ու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դրանց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գների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հիման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վրա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 </w:t>
      </w:r>
      <w:r>
        <w:rPr>
          <w:rFonts w:cs="Georgia" w:ascii="Sylfaen" w:hAnsi="Sylfaen"/>
          <w:color w:val="000000"/>
          <w:sz w:val="40"/>
          <w:szCs w:val="40"/>
        </w:rPr>
        <w:t>ստեղծվելիք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շուկայի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բաժնետոմսի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գնի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որոշում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, </w:t>
      </w:r>
      <w:r>
        <w:rPr>
          <w:rFonts w:cs="Georgia" w:ascii="Sylfaen" w:hAnsi="Sylfaen"/>
          <w:color w:val="000000"/>
          <w:sz w:val="40"/>
          <w:szCs w:val="40"/>
        </w:rPr>
        <w:t>դրա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անընդատ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թարմացվող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տվյալների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ներկայացում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շուկայում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cs="Georgia" w:ascii="Sylfaen" w:hAnsi="Sylfaen"/>
          <w:color w:val="000000"/>
          <w:sz w:val="40"/>
          <w:szCs w:val="40"/>
          <w:lang w:val="en-US"/>
        </w:rPr>
      </w:pPr>
      <w:r>
        <w:rPr>
          <w:rFonts w:cs="Georgia" w:ascii="Sylfaen" w:hAnsi="Sylfaen"/>
          <w:color w:val="000000"/>
          <w:sz w:val="40"/>
          <w:szCs w:val="40"/>
          <w:lang w:val="en-US"/>
        </w:rPr>
        <w:t>(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>The prices of  structural elements of index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 )</w:t>
      </w:r>
      <w:r>
        <w:rPr>
          <w:rFonts w:cs="Georgia" w:ascii="Sylfaen" w:hAnsi="Sylfaen"/>
          <w:color w:val="000000"/>
          <w:sz w:val="40"/>
          <w:szCs w:val="40"/>
        </w:rPr>
        <w:t>Բաժնետոմսի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կազմում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ընդգրկված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ինդեքսների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գների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տատանումների </w:t>
      </w:r>
      <w:r>
        <w:rPr>
          <w:rFonts w:cs="Georgia" w:ascii="Sylfaen" w:hAnsi="Sylfaen"/>
          <w:color w:val="000000"/>
          <w:sz w:val="40"/>
          <w:szCs w:val="40"/>
        </w:rPr>
        <w:t>ներկայացում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կայքում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>(</w:t>
      </w:r>
      <w:r>
        <w:rPr>
          <w:rFonts w:cs="Georgia" w:ascii="Sylfaen" w:hAnsi="Sylfaen"/>
          <w:color w:val="000000"/>
          <w:sz w:val="40"/>
          <w:szCs w:val="40"/>
        </w:rPr>
        <w:t>էջի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վերևում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ներկայացվող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բաժին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, </w:t>
      </w:r>
      <w:r>
        <w:rPr>
          <w:rFonts w:cs="Georgia" w:ascii="Sylfaen" w:hAnsi="Sylfaen"/>
          <w:color w:val="000000"/>
          <w:sz w:val="40"/>
          <w:szCs w:val="40"/>
        </w:rPr>
        <w:t>որը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 </w:t>
      </w:r>
      <w:r>
        <w:rPr>
          <w:rFonts w:cs="Georgia" w:ascii="Sylfaen" w:hAnsi="Sylfaen"/>
          <w:color w:val="000000"/>
          <w:sz w:val="40"/>
          <w:szCs w:val="40"/>
        </w:rPr>
        <w:t>մկնիկի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սեղմումով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բացում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է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 </w:t>
      </w:r>
      <w:r>
        <w:rPr>
          <w:rFonts w:cs="Georgia" w:ascii="Sylfaen" w:hAnsi="Sylfaen"/>
          <w:color w:val="000000"/>
          <w:sz w:val="40"/>
          <w:szCs w:val="40"/>
        </w:rPr>
        <w:t>գրաֆիկների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և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տվյալների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ամբողջություն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, </w:t>
      </w:r>
      <w:r>
        <w:rPr>
          <w:rFonts w:cs="Georgia" w:ascii="Sylfaen" w:hAnsi="Sylfaen"/>
          <w:color w:val="000000"/>
          <w:sz w:val="40"/>
          <w:szCs w:val="40"/>
        </w:rPr>
        <w:t>որը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նույնպես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թարմացվում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է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ամեն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րոպե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>):</w:t>
      </w:r>
    </w:p>
    <w:p>
      <w:pPr>
        <w:pStyle w:val="ListParagraph"/>
        <w:spacing w:lineRule="auto" w:line="360" w:before="0" w:after="0"/>
        <w:ind w:left="644" w:right="0" w:hanging="0"/>
        <w:contextualSpacing/>
        <w:jc w:val="both"/>
        <w:rPr/>
      </w:pPr>
      <w:r>
        <w:rPr/>
        <w:drawing>
          <wp:inline distT="0" distB="0" distL="0" distR="0">
            <wp:extent cx="5486400" cy="32004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cs="Georgia" w:ascii="Sylfaen" w:hAnsi="Sylfaen"/>
          <w:color w:val="000000"/>
          <w:sz w:val="40"/>
          <w:szCs w:val="40"/>
          <w:lang w:val="en-US"/>
        </w:rPr>
      </w:pP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>(The included sectors of economy</w:t>
      </w:r>
      <w:r>
        <w:rPr>
          <w:rFonts w:cs="Georgia" w:ascii="Cambria Math" w:hAnsi="Cambria Math"/>
          <w:color w:val="000000"/>
          <w:sz w:val="40"/>
          <w:szCs w:val="40"/>
          <w:lang w:val="en-US"/>
        </w:rPr>
        <w:t>)</w:t>
      </w:r>
      <w:r>
        <w:rPr>
          <w:rFonts w:cs="Georgia" w:ascii="Sylfaen" w:hAnsi="Sylfaen"/>
          <w:color w:val="000000"/>
          <w:sz w:val="40"/>
          <w:szCs w:val="40"/>
        </w:rPr>
        <w:t>Բաժնետոմսի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կազմում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ընդգրկված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ճյուղերի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համամասնության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ներկայացում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կայքում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>(</w:t>
      </w:r>
      <w:r>
        <w:rPr>
          <w:rFonts w:cs="Georgia" w:ascii="Sylfaen" w:hAnsi="Sylfaen"/>
          <w:color w:val="000000"/>
          <w:sz w:val="40"/>
          <w:szCs w:val="40"/>
        </w:rPr>
        <w:t>էջի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վերևում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ներկայացվող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բաժին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, </w:t>
      </w:r>
      <w:r>
        <w:rPr>
          <w:rFonts w:cs="Georgia" w:ascii="Sylfaen" w:hAnsi="Sylfaen"/>
          <w:color w:val="000000"/>
          <w:sz w:val="40"/>
          <w:szCs w:val="40"/>
        </w:rPr>
        <w:t>որը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 </w:t>
      </w:r>
      <w:r>
        <w:rPr>
          <w:rFonts w:cs="Georgia" w:ascii="Sylfaen" w:hAnsi="Sylfaen"/>
          <w:color w:val="000000"/>
          <w:sz w:val="40"/>
          <w:szCs w:val="40"/>
        </w:rPr>
        <w:t>մկնիկի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սեղմումով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բացում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է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տեքստային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ֆայլ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>):</w:t>
      </w:r>
    </w:p>
    <w:p>
      <w:pPr>
        <w:pStyle w:val="ListParagraph"/>
        <w:spacing w:lineRule="auto" w:line="360" w:before="0" w:after="0"/>
        <w:ind w:left="644" w:right="0" w:hanging="0"/>
        <w:contextualSpacing/>
        <w:jc w:val="both"/>
        <w:rPr/>
      </w:pPr>
      <w:r>
        <w:rPr/>
        <w:drawing>
          <wp:inline distT="0" distB="0" distL="0" distR="0">
            <wp:extent cx="5486400" cy="320040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cs="Georgia" w:ascii="Sylfaen" w:hAnsi="Sylfaen"/>
          <w:color w:val="000000"/>
          <w:sz w:val="40"/>
          <w:szCs w:val="40"/>
          <w:lang w:val="en-US"/>
        </w:rPr>
      </w:pP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>(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>The history of the  profitability and price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)</w:t>
      </w:r>
      <w:r>
        <w:rPr>
          <w:rFonts w:cs="Georgia" w:ascii="Sylfaen" w:hAnsi="Sylfaen"/>
          <w:color w:val="000000"/>
          <w:sz w:val="40"/>
          <w:szCs w:val="40"/>
        </w:rPr>
        <w:t>Երկար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ժամանակահատվածի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համար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բաժնետոմսի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գնի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և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եկամտաբերության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տատանումների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պատկերում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, </w:t>
      </w:r>
      <w:r>
        <w:rPr>
          <w:rFonts w:cs="Georgia" w:ascii="Sylfaen" w:hAnsi="Sylfaen"/>
          <w:color w:val="000000"/>
          <w:sz w:val="40"/>
          <w:szCs w:val="40"/>
        </w:rPr>
        <w:t>ամենօրյա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թարմացում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>(</w:t>
      </w:r>
      <w:r>
        <w:rPr>
          <w:rFonts w:cs="Georgia" w:ascii="Sylfaen" w:hAnsi="Sylfaen"/>
          <w:color w:val="000000"/>
          <w:sz w:val="40"/>
          <w:szCs w:val="40"/>
        </w:rPr>
        <w:t>գլխավոր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էջում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ներկայացվող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գրաֆիկներ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, </w:t>
      </w:r>
      <w:r>
        <w:rPr>
          <w:rFonts w:cs="Georgia" w:ascii="Sylfaen" w:hAnsi="Sylfaen"/>
          <w:color w:val="000000"/>
          <w:sz w:val="40"/>
          <w:szCs w:val="40"/>
        </w:rPr>
        <w:t>որը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թարմացվում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է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ամեն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օր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>):</w:t>
      </w:r>
    </w:p>
    <w:p>
      <w:pPr>
        <w:pStyle w:val="ListParagraph"/>
        <w:spacing w:lineRule="auto" w:line="360" w:before="0" w:after="0"/>
        <w:ind w:left="644" w:right="0" w:hanging="0"/>
        <w:contextualSpacing/>
        <w:jc w:val="both"/>
        <w:rPr>
          <w:rFonts w:cs="Georgia" w:ascii="Sylfaen" w:hAnsi="Sylfaen"/>
          <w:color w:val="000000"/>
          <w:sz w:val="40"/>
          <w:szCs w:val="40"/>
          <w:lang w:val="en-US"/>
        </w:rPr>
      </w:pPr>
      <w:r>
        <w:rPr>
          <w:rFonts w:cs="Georgia" w:ascii="Sylfaen" w:hAnsi="Sylfaen"/>
          <w:color w:val="000000"/>
          <w:sz w:val="40"/>
          <w:szCs w:val="40"/>
        </w:rPr>
        <w:t>Եկամտի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և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ժամանակահատվածի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ֆունկցիոնալ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կախվածություն՝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  <w:lang w:val="en-US"/>
        </w:rPr>
        <w:drawing>
          <wp:inline distT="0" distB="0" distL="0" distR="0">
            <wp:extent cx="5486400" cy="320040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ListParagraph"/>
        <w:spacing w:lineRule="auto" w:line="360" w:before="0" w:after="0"/>
        <w:ind w:left="644" w:right="0" w:hanging="0"/>
        <w:contextualSpacing/>
        <w:jc w:val="both"/>
        <w:rPr>
          <w:rFonts w:cs="Georgia" w:ascii="Sylfaen" w:hAnsi="Sylfaen"/>
          <w:color w:val="000000"/>
          <w:sz w:val="40"/>
          <w:szCs w:val="40"/>
        </w:rPr>
      </w:pPr>
      <w:r>
        <w:rPr>
          <w:rFonts w:cs="Georgia" w:ascii="Sylfaen" w:hAnsi="Sylfaen"/>
          <w:color w:val="000000"/>
          <w:sz w:val="40"/>
          <w:szCs w:val="40"/>
        </w:rPr>
        <w:t>Գնի և ժամանակահատվածի ֆունկցիոնալ կախվածություն</w:t>
      </w:r>
    </w:p>
    <w:p>
      <w:pPr>
        <w:pStyle w:val="ListParagraph"/>
        <w:spacing w:lineRule="auto" w:line="360" w:before="0" w:after="0"/>
        <w:ind w:left="644" w:right="0" w:hanging="0"/>
        <w:contextualSpacing/>
        <w:jc w:val="both"/>
        <w:rPr/>
      </w:pPr>
      <w:r>
        <w:rPr/>
        <w:drawing>
          <wp:inline distT="0" distB="0" distL="0" distR="0">
            <wp:extent cx="5486400" cy="320040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cs="Georgia" w:ascii="Sylfaen" w:hAnsi="Sylfaen"/>
          <w:color w:val="000000"/>
          <w:sz w:val="40"/>
          <w:szCs w:val="40"/>
          <w:lang w:val="en-US"/>
        </w:rPr>
      </w:pP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>(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>Divident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) </w:t>
      </w:r>
      <w:r>
        <w:rPr>
          <w:rFonts w:cs="Georgia" w:ascii="Sylfaen" w:hAnsi="Sylfaen"/>
          <w:color w:val="000000"/>
          <w:sz w:val="40"/>
          <w:szCs w:val="40"/>
        </w:rPr>
        <w:t>Հաշվարկների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իրականացմամբ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որոշվող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տարեկան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դիվիդենտի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ներկայացում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կայքում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( </w:t>
      </w:r>
      <w:r>
        <w:rPr>
          <w:rFonts w:cs="Georgia" w:ascii="Sylfaen" w:hAnsi="Sylfaen"/>
          <w:color w:val="000000"/>
          <w:sz w:val="40"/>
          <w:szCs w:val="40"/>
        </w:rPr>
        <w:t>ենթաբաժին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է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, </w:t>
      </w:r>
      <w:r>
        <w:rPr>
          <w:rFonts w:cs="Georgia" w:ascii="Sylfaen" w:hAnsi="Sylfaen"/>
          <w:color w:val="000000"/>
          <w:sz w:val="40"/>
          <w:szCs w:val="40"/>
        </w:rPr>
        <w:t>որը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 </w:t>
      </w:r>
      <w:r>
        <w:rPr>
          <w:rFonts w:cs="Georgia" w:ascii="Sylfaen" w:hAnsi="Sylfaen"/>
          <w:color w:val="000000"/>
          <w:sz w:val="40"/>
          <w:szCs w:val="40"/>
        </w:rPr>
        <w:t>մկնիկի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հարվածով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կբերի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պատուհան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, </w:t>
      </w:r>
      <w:r>
        <w:rPr>
          <w:rFonts w:cs="Georgia" w:ascii="Sylfaen" w:hAnsi="Sylfaen"/>
          <w:color w:val="000000"/>
          <w:sz w:val="40"/>
          <w:szCs w:val="40"/>
        </w:rPr>
        <w:t>որ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իջնում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է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վերևից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և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ներկայացնում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տարեկան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դիվիդենտը՝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տոկոսային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արտահայտությամբ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>):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cs="Georgia" w:ascii="Sylfaen" w:hAnsi="Sylfaen"/>
          <w:color w:val="000000"/>
          <w:sz w:val="40"/>
          <w:szCs w:val="40"/>
          <w:lang w:val="en-US"/>
        </w:rPr>
      </w:pP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( 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>Calculation for  investment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>)</w:t>
      </w:r>
      <w:r>
        <w:rPr>
          <w:rFonts w:cs="Georgia" w:ascii="Sylfaen" w:hAnsi="Sylfaen"/>
          <w:color w:val="000000"/>
          <w:sz w:val="40"/>
          <w:szCs w:val="40"/>
        </w:rPr>
        <w:t>Առանձին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բաժնի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ստեղծում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ներդրումների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իրականացման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համար՝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( </w:t>
      </w:r>
      <w:r>
        <w:rPr>
          <w:rFonts w:cs="Georgia" w:ascii="Sylfaen" w:hAnsi="Sylfaen"/>
          <w:color w:val="000000"/>
          <w:sz w:val="40"/>
          <w:szCs w:val="40"/>
        </w:rPr>
        <w:t>ներկայացված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է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էջի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վերևի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հատվածում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, </w:t>
      </w:r>
      <w:r>
        <w:rPr>
          <w:rFonts w:cs="Georgia" w:ascii="Sylfaen" w:hAnsi="Sylfaen"/>
          <w:color w:val="000000"/>
          <w:sz w:val="40"/>
          <w:szCs w:val="40"/>
        </w:rPr>
        <w:t>բացվում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է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մկնիկի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հարվածով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)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cs="Georgia" w:ascii="Sylfaen" w:hAnsi="Sylfaen"/>
          <w:color w:val="000000"/>
          <w:sz w:val="40"/>
          <w:szCs w:val="40"/>
          <w:lang w:val="en-US"/>
        </w:rPr>
      </w:pP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  </w:t>
      </w:r>
      <w:r>
        <w:rPr>
          <w:rFonts w:cs="Georgia" w:ascii="Sylfaen" w:hAnsi="Sylfaen"/>
          <w:color w:val="000000"/>
          <w:sz w:val="40"/>
          <w:szCs w:val="40"/>
        </w:rPr>
        <w:t>Հաշվիչի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ստեղծում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, </w:t>
      </w:r>
      <w:r>
        <w:rPr>
          <w:rFonts w:cs="Georgia" w:ascii="Sylfaen" w:hAnsi="Sylfaen"/>
          <w:color w:val="000000"/>
          <w:sz w:val="40"/>
          <w:szCs w:val="40"/>
        </w:rPr>
        <w:t>որը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ներդրման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, </w:t>
      </w:r>
      <w:r>
        <w:rPr>
          <w:rFonts w:cs="Georgia" w:ascii="Sylfaen" w:hAnsi="Sylfaen"/>
          <w:color w:val="000000"/>
          <w:sz w:val="40"/>
          <w:szCs w:val="40"/>
        </w:rPr>
        <w:t>ժամանակահատվածի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, </w:t>
      </w:r>
      <w:r>
        <w:rPr>
          <w:rFonts w:cs="Georgia" w:ascii="Sylfaen" w:hAnsi="Sylfaen"/>
          <w:color w:val="000000"/>
          <w:sz w:val="40"/>
          <w:szCs w:val="40"/>
        </w:rPr>
        <w:t>դիվիդենտի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հիման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վրա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կորոշի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 </w:t>
      </w:r>
      <w:r>
        <w:rPr>
          <w:rFonts w:cs="Georgia" w:ascii="Sylfaen" w:hAnsi="Sylfaen"/>
          <w:color w:val="000000"/>
          <w:sz w:val="40"/>
          <w:szCs w:val="40"/>
        </w:rPr>
        <w:t>եկամտաբերությունը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( </w:t>
      </w:r>
      <w:r>
        <w:rPr>
          <w:rFonts w:cs="Georgia" w:ascii="Sylfaen" w:hAnsi="Sylfaen"/>
          <w:color w:val="000000"/>
          <w:sz w:val="40"/>
          <w:szCs w:val="40"/>
        </w:rPr>
        <w:t>էկրանին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բացվում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է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հաշվիչ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, </w:t>
      </w:r>
      <w:r>
        <w:rPr>
          <w:rFonts w:cs="Georgia" w:ascii="Sylfaen" w:hAnsi="Sylfaen"/>
          <w:color w:val="000000"/>
          <w:sz w:val="40"/>
          <w:szCs w:val="40"/>
        </w:rPr>
        <w:t>որն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, </w:t>
      </w:r>
      <w:r>
        <w:rPr>
          <w:rFonts w:cs="Georgia" w:ascii="Sylfaen" w:hAnsi="Sylfaen"/>
          <w:color w:val="000000"/>
          <w:sz w:val="40"/>
          <w:szCs w:val="40"/>
        </w:rPr>
        <w:t>ունենալով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իր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անհրաժեշտ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տվյաների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ներմուծման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 </w:t>
      </w:r>
      <w:r>
        <w:rPr>
          <w:rFonts w:cs="Georgia" w:ascii="Sylfaen" w:hAnsi="Sylfaen"/>
          <w:color w:val="000000"/>
          <w:sz w:val="40"/>
          <w:szCs w:val="40"/>
        </w:rPr>
        <w:t>բաժինները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, </w:t>
      </w:r>
      <w:r>
        <w:rPr>
          <w:rFonts w:cs="Georgia" w:ascii="Sylfaen" w:hAnsi="Sylfaen"/>
          <w:color w:val="000000"/>
          <w:sz w:val="40"/>
          <w:szCs w:val="40"/>
        </w:rPr>
        <w:t>հաշվարկում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է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 </w:t>
      </w:r>
      <w:r>
        <w:rPr>
          <w:rFonts w:cs="Georgia" w:ascii="Sylfaen" w:hAnsi="Sylfaen"/>
          <w:color w:val="000000"/>
          <w:sz w:val="40"/>
          <w:szCs w:val="40"/>
        </w:rPr>
        <w:t>ակնկավող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եկամտաբերությունը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 xml:space="preserve"> ):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cs="Georgia" w:ascii="Sylfaen" w:hAnsi="Sylfaen"/>
          <w:color w:val="000000"/>
          <w:sz w:val="40"/>
          <w:szCs w:val="40"/>
        </w:rPr>
      </w:pPr>
      <w:r>
        <w:rPr>
          <w:rFonts w:cs="Georgia" w:ascii="Sylfaen" w:hAnsi="Sylfaen"/>
          <w:color w:val="000000"/>
          <w:sz w:val="40"/>
          <w:szCs w:val="40"/>
        </w:rPr>
        <w:t>Ներդրման հաստատում(մկնիկի կոճակ)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cs="Georgia" w:ascii="Sylfaen" w:hAnsi="Sylfaen"/>
          <w:color w:val="000000"/>
          <w:sz w:val="40"/>
          <w:szCs w:val="40"/>
        </w:rPr>
      </w:pPr>
      <w:r>
        <w:rPr>
          <w:rFonts w:cs="Georgia" w:ascii="Sylfaen" w:hAnsi="Sylfaen"/>
          <w:color w:val="000000"/>
          <w:sz w:val="40"/>
          <w:szCs w:val="40"/>
        </w:rPr>
        <w:t>Անձնական տվյաների ներմուծման հնարավորություն(համապատասխան բաժիններում տվյաներ գրելու հնարավորություն ստեղնաշարի և մկնիկի օգնությամբ)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cs="Georgia" w:ascii="Sylfaen" w:hAnsi="Sylfaen"/>
          <w:color w:val="000000"/>
          <w:sz w:val="40"/>
          <w:szCs w:val="40"/>
        </w:rPr>
      </w:pPr>
      <w:r>
        <w:rPr>
          <w:rFonts w:cs="Georgia" w:ascii="Sylfaen" w:hAnsi="Sylfaen"/>
          <w:color w:val="000000"/>
          <w:sz w:val="40"/>
          <w:szCs w:val="40"/>
        </w:rPr>
        <w:t>Ներդրողներին  ցուցակի հիման վրա  թարմացումների մասին  տեղեկատվության տրամադրում(հեռախոսահամարների հետ անմիջական, ավտոմատ կապի ստեղծում, անհրաժեշտ հաղթրդագրություններ ուղարկելու համար):</w:t>
      </w:r>
    </w:p>
    <w:p>
      <w:pPr>
        <w:pStyle w:val="Normal"/>
        <w:spacing w:lineRule="auto" w:line="360" w:before="0" w:after="0"/>
        <w:jc w:val="both"/>
        <w:rPr>
          <w:rFonts w:cs="Georgia" w:ascii="Sylfaen" w:hAnsi="Sylfaen"/>
          <w:color w:val="000000"/>
          <w:sz w:val="40"/>
          <w:szCs w:val="40"/>
        </w:rPr>
      </w:pPr>
      <w:r>
        <w:rPr>
          <w:rFonts w:cs="Georgia" w:ascii="Sylfaen" w:hAnsi="Sylfaen"/>
          <w:color w:val="000000"/>
          <w:sz w:val="40"/>
          <w:szCs w:val="40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cs="Georgia" w:ascii="Sylfaen" w:hAnsi="Sylfaen"/>
          <w:color w:val="000000"/>
          <w:sz w:val="40"/>
          <w:szCs w:val="40"/>
        </w:rPr>
      </w:pPr>
      <w:r>
        <w:rPr>
          <w:rFonts w:cs="Georgia" w:ascii="Sylfaen" w:hAnsi="Sylfaen"/>
          <w:color w:val="000000"/>
          <w:sz w:val="40"/>
          <w:szCs w:val="40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</w:rPr>
        <w:t>(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>The</w:t>
      </w:r>
      <w:r>
        <w:rPr>
          <w:rFonts w:cs="Georgia" w:ascii="Sylfaen" w:hAnsi="Sylfaen"/>
          <w:b/>
          <w:color w:val="000000"/>
          <w:sz w:val="40"/>
          <w:szCs w:val="40"/>
          <w:u w:val="single"/>
        </w:rPr>
        <w:t xml:space="preserve"> 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>investor</w:t>
      </w:r>
      <w:r>
        <w:rPr>
          <w:rFonts w:cs="Georgia" w:ascii="Sylfaen" w:hAnsi="Sylfaen"/>
          <w:b/>
          <w:color w:val="000000"/>
          <w:sz w:val="40"/>
          <w:szCs w:val="40"/>
          <w:u w:val="single"/>
        </w:rPr>
        <w:t>'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>s</w:t>
      </w:r>
      <w:r>
        <w:rPr>
          <w:rFonts w:cs="Georgia" w:ascii="Sylfaen" w:hAnsi="Sylfaen"/>
          <w:b/>
          <w:color w:val="000000"/>
          <w:sz w:val="40"/>
          <w:szCs w:val="40"/>
          <w:u w:val="single"/>
        </w:rPr>
        <w:t xml:space="preserve"> </w:t>
      </w:r>
      <w:r>
        <w:rPr>
          <w:rFonts w:cs="Georgia" w:ascii="Sylfaen" w:hAnsi="Sylfaen"/>
          <w:b/>
          <w:color w:val="000000"/>
          <w:sz w:val="40"/>
          <w:szCs w:val="40"/>
          <w:u w:val="single"/>
          <w:lang w:val="en-US"/>
        </w:rPr>
        <w:t>account</w:t>
      </w:r>
      <w:r>
        <w:rPr>
          <w:rFonts w:cs="Georgia" w:ascii="Sylfaen" w:hAnsi="Sylfaen"/>
          <w:color w:val="000000"/>
          <w:sz w:val="40"/>
          <w:szCs w:val="40"/>
        </w:rPr>
        <w:t>)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>Օգտատերերի</w:t>
      </w:r>
      <w:r>
        <w:rPr>
          <w:rFonts w:cs="Georgia" w:ascii="Sylfaen" w:hAnsi="Sylfaen"/>
          <w:color w:val="000000"/>
          <w:sz w:val="40"/>
          <w:szCs w:val="40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>պրոֆիլ</w:t>
      </w:r>
      <w:r>
        <w:rPr>
          <w:rFonts w:cs="Georgia" w:ascii="Sylfaen" w:hAnsi="Sylfaen"/>
          <w:color w:val="000000"/>
          <w:sz w:val="40"/>
          <w:szCs w:val="40"/>
        </w:rPr>
        <w:t>(վերևում ներկայացվող ենթաբաժին, որը բացվում է մկնիկի հարվածով և համապատասխան տողերում ստեղնաշարի օգնությամբ ներմուծվում են տվյալներտը )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cs="Georgia" w:ascii="Sylfaen" w:hAnsi="Sylfaen"/>
          <w:color w:val="000000"/>
          <w:sz w:val="40"/>
          <w:szCs w:val="40"/>
          <w:lang w:val="en-US"/>
        </w:rPr>
      </w:pPr>
      <w:r>
        <w:rPr>
          <w:rFonts w:cs="Georgia" w:ascii="Sylfaen" w:hAnsi="Sylfaen"/>
          <w:color w:val="000000"/>
          <w:sz w:val="40"/>
          <w:szCs w:val="40"/>
          <w:lang w:val="en-US"/>
        </w:rPr>
        <w:t>Անուն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cs="Georgia" w:ascii="Sylfaen" w:hAnsi="Sylfaen"/>
          <w:color w:val="000000"/>
          <w:sz w:val="40"/>
          <w:szCs w:val="40"/>
          <w:lang w:val="en-US"/>
        </w:rPr>
      </w:pPr>
      <w:r>
        <w:rPr>
          <w:rFonts w:cs="Georgia" w:ascii="Sylfaen" w:hAnsi="Sylfaen"/>
          <w:color w:val="000000"/>
          <w:sz w:val="40"/>
          <w:szCs w:val="40"/>
          <w:lang w:val="en-US"/>
        </w:rPr>
        <w:t>Ազգանուն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cs="Georgia" w:ascii="Sylfaen" w:hAnsi="Sylfaen"/>
          <w:color w:val="000000"/>
          <w:sz w:val="40"/>
          <w:szCs w:val="40"/>
        </w:rPr>
      </w:pPr>
      <w:r>
        <w:rPr>
          <w:rFonts w:cs="Georgia" w:ascii="Sylfaen" w:hAnsi="Sylfaen"/>
          <w:color w:val="000000"/>
          <w:sz w:val="40"/>
          <w:szCs w:val="40"/>
        </w:rPr>
        <w:t>e-mail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cs="Georgia" w:ascii="Sylfaen" w:hAnsi="Sylfaen"/>
          <w:color w:val="000000"/>
          <w:sz w:val="40"/>
          <w:szCs w:val="40"/>
          <w:lang w:val="en-US"/>
        </w:rPr>
      </w:pPr>
      <w:r>
        <w:rPr>
          <w:rFonts w:cs="Georgia" w:ascii="Sylfaen" w:hAnsi="Sylfaen"/>
          <w:color w:val="000000"/>
          <w:sz w:val="40"/>
          <w:szCs w:val="40"/>
          <w:lang w:val="en-US"/>
        </w:rPr>
        <w:t>հասցե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cs="Georgia" w:ascii="Sylfaen" w:hAnsi="Sylfaen"/>
          <w:color w:val="000000"/>
          <w:sz w:val="40"/>
          <w:szCs w:val="40"/>
          <w:lang w:val="en-US"/>
        </w:rPr>
      </w:pPr>
      <w:r>
        <w:rPr>
          <w:rFonts w:cs="Georgia" w:ascii="Sylfaen" w:hAnsi="Sylfaen"/>
          <w:color w:val="000000"/>
          <w:sz w:val="40"/>
          <w:szCs w:val="40"/>
          <w:lang w:val="en-US"/>
        </w:rPr>
        <w:t>հեռախոսահամար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cs="Georgia" w:ascii="Sylfaen" w:hAnsi="Sylfaen"/>
          <w:color w:val="000000"/>
          <w:sz w:val="40"/>
          <w:szCs w:val="40"/>
          <w:lang w:val="en-US"/>
        </w:rPr>
      </w:pPr>
      <w:r>
        <w:rPr>
          <w:rFonts w:cs="Georgia" w:ascii="Sylfaen" w:hAnsi="Sylfaen"/>
          <w:color w:val="000000"/>
          <w:sz w:val="40"/>
          <w:szCs w:val="40"/>
          <w:lang w:val="en-US"/>
        </w:rPr>
        <w:t>հաշվեհամար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cs="Georgia" w:ascii="Sylfaen" w:hAnsi="Sylfaen"/>
          <w:color w:val="000000"/>
          <w:sz w:val="40"/>
          <w:szCs w:val="40"/>
          <w:lang w:val="en-US"/>
        </w:rPr>
      </w:pPr>
      <w:r>
        <w:rPr>
          <w:rFonts w:cs="Georgia" w:ascii="Sylfaen" w:hAnsi="Sylfaen"/>
          <w:color w:val="000000"/>
          <w:sz w:val="40"/>
          <w:szCs w:val="40"/>
          <w:lang w:val="en-US"/>
        </w:rPr>
        <w:t>ներդրման չափ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cs="Georgia" w:ascii="Sylfaen" w:hAnsi="Sylfaen"/>
          <w:color w:val="000000"/>
          <w:sz w:val="40"/>
          <w:szCs w:val="40"/>
          <w:lang w:val="en-US"/>
        </w:rPr>
      </w:pPr>
      <w:r>
        <w:rPr>
          <w:rFonts w:cs="Georgia" w:ascii="Sylfaen" w:hAnsi="Sylfaen"/>
          <w:color w:val="000000"/>
          <w:sz w:val="40"/>
          <w:szCs w:val="40"/>
          <w:lang w:val="en-US"/>
        </w:rPr>
        <w:t>գնված արժեթղթերի քանակ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cs="Georgia" w:ascii="Sylfaen" w:hAnsi="Sylfaen"/>
          <w:color w:val="000000"/>
          <w:sz w:val="40"/>
          <w:szCs w:val="40"/>
          <w:lang w:val="en-US"/>
        </w:rPr>
      </w:pPr>
      <w:r>
        <w:rPr>
          <w:rFonts w:cs="Georgia" w:ascii="Sylfaen" w:hAnsi="Sylfaen"/>
          <w:color w:val="000000"/>
          <w:sz w:val="40"/>
          <w:szCs w:val="40"/>
          <w:lang w:val="en-US"/>
        </w:rPr>
        <w:t>ներդրման ժամկետ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cs="Georgia" w:ascii="Sylfaen" w:hAnsi="Sylfaen"/>
          <w:color w:val="000000"/>
          <w:sz w:val="40"/>
          <w:szCs w:val="40"/>
        </w:rPr>
      </w:pPr>
      <w:r>
        <w:rPr>
          <w:rFonts w:cs="Georgia" w:ascii="Sylfaen" w:hAnsi="Sylfaen"/>
          <w:color w:val="000000"/>
          <w:sz w:val="40"/>
          <w:szCs w:val="40"/>
          <w:lang w:val="en-US"/>
        </w:rPr>
        <w:t>եկամտաբերության</w:t>
      </w:r>
      <w:r>
        <w:rPr>
          <w:rFonts w:cs="Georgia" w:ascii="Sylfaen" w:hAnsi="Sylfaen"/>
          <w:color w:val="000000"/>
          <w:sz w:val="40"/>
          <w:szCs w:val="40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>տատ</w:t>
      </w:r>
      <w:r>
        <w:rPr>
          <w:rFonts w:cs="Georgia" w:ascii="Sylfaen" w:hAnsi="Sylfaen"/>
          <w:color w:val="000000"/>
          <w:sz w:val="40"/>
          <w:szCs w:val="40"/>
        </w:rPr>
        <w:t>ա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>նումների</w:t>
      </w:r>
      <w:r>
        <w:rPr>
          <w:rFonts w:cs="Georgia" w:ascii="Sylfaen" w:hAnsi="Sylfaen"/>
          <w:color w:val="000000"/>
          <w:sz w:val="40"/>
          <w:szCs w:val="40"/>
        </w:rPr>
        <w:t xml:space="preserve"> </w:t>
      </w:r>
      <w:r>
        <w:rPr>
          <w:rFonts w:cs="Georgia" w:ascii="Sylfaen" w:hAnsi="Sylfaen"/>
          <w:color w:val="000000"/>
          <w:sz w:val="40"/>
          <w:szCs w:val="40"/>
          <w:lang w:val="en-US"/>
        </w:rPr>
        <w:t>ներկայացում</w:t>
      </w:r>
      <w:r>
        <w:rPr>
          <w:rFonts w:cs="Georgia" w:ascii="Sylfaen" w:hAnsi="Sylfaen"/>
          <w:color w:val="000000"/>
          <w:sz w:val="40"/>
          <w:szCs w:val="40"/>
        </w:rPr>
        <w:t>(գրաֆիկի ներկայացում)</w:t>
      </w:r>
    </w:p>
    <w:p>
      <w:pPr>
        <w:pStyle w:val="ListParagraph"/>
        <w:spacing w:lineRule="auto" w:line="360" w:before="0" w:after="0"/>
        <w:ind w:left="2246" w:right="0" w:hanging="0"/>
        <w:contextualSpacing/>
        <w:jc w:val="both"/>
        <w:rPr>
          <w:rFonts w:cs="Georgia" w:ascii="Sylfaen" w:hAnsi="Sylfaen"/>
          <w:color w:val="000000"/>
          <w:sz w:val="40"/>
          <w:szCs w:val="40"/>
        </w:rPr>
      </w:pPr>
      <w:r>
        <w:rPr>
          <w:rFonts w:cs="Georgia" w:ascii="Sylfaen" w:hAnsi="Sylfaen"/>
          <w:color w:val="000000"/>
          <w:sz w:val="40"/>
          <w:szCs w:val="40"/>
        </w:rPr>
        <w:t xml:space="preserve"> </w:t>
      </w:r>
    </w:p>
    <w:p>
      <w:pPr>
        <w:pStyle w:val="ListParagraph"/>
        <w:spacing w:lineRule="auto" w:line="360" w:before="0" w:after="0"/>
        <w:ind w:left="1526" w:right="0" w:hanging="0"/>
        <w:contextualSpacing/>
        <w:jc w:val="both"/>
        <w:rPr>
          <w:rFonts w:cs="Georgia" w:ascii="Sylfaen" w:hAnsi="Sylfaen"/>
          <w:color w:val="000000"/>
          <w:sz w:val="40"/>
          <w:szCs w:val="40"/>
        </w:rPr>
      </w:pPr>
      <w:r>
        <w:rPr>
          <w:rFonts w:cs="Georgia" w:ascii="Sylfaen" w:hAnsi="Sylfaen"/>
          <w:color w:val="000000"/>
          <w:sz w:val="40"/>
          <w:szCs w:val="40"/>
        </w:rPr>
      </w:r>
    </w:p>
    <w:p>
      <w:pPr>
        <w:pStyle w:val="Normal"/>
        <w:spacing w:lineRule="auto" w:line="360" w:before="0" w:after="0"/>
        <w:ind w:left="0" w:right="0" w:firstLine="284"/>
        <w:jc w:val="both"/>
        <w:rPr>
          <w:rFonts w:cs="Georgia" w:ascii="Sylfaen" w:hAnsi="Sylfaen"/>
          <w:color w:val="000000"/>
          <w:sz w:val="40"/>
          <w:szCs w:val="40"/>
        </w:rPr>
      </w:pPr>
      <w:r>
        <w:rPr>
          <w:rFonts w:cs="Georgia" w:ascii="Sylfaen" w:hAnsi="Sylfaen"/>
          <w:color w:val="000000"/>
          <w:sz w:val="40"/>
          <w:szCs w:val="40"/>
        </w:rPr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567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lfaen">
    <w:charset w:val="01"/>
    <w:family w:val="roman"/>
    <w:pitch w:val="variable"/>
  </w:font>
  <w:font w:name="Arial Armenian"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52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6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8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2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4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8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6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22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9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4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5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006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8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3321c"/>
    <w:pPr>
      <w:widowControl/>
      <w:suppressAutoHyphens w:val="true"/>
      <w:bidi w:val="0"/>
      <w:spacing w:lineRule="auto" w:line="276" w:before="0" w:after="200"/>
      <w:jc w:val="left"/>
    </w:pPr>
    <w:rPr>
      <w:rFonts w:cs="" w:ascii="Calibri" w:hAnsi="Calibri" w:eastAsia="Droid Sans Fallback"/>
      <w:color w:val="auto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Текст выноски Знак"/>
    <w:uiPriority w:val="99"/>
    <w:semiHidden/>
    <w:link w:val="a4"/>
    <w:rsid w:val="00af3f74"/>
    <w:basedOn w:val="DefaultParagraphFont"/>
    <w:rPr>
      <w:rFonts w:ascii="Tahoma" w:hAnsi="Tahoma" w:cs="Tahoma"/>
      <w:sz w:val="16"/>
      <w:szCs w:val="16"/>
      <w:lang w:eastAsia="ru-RU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2a58c8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a5"/>
    <w:rsid w:val="00af3f74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chart" Target="charts/chart5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rgbClr val="4a7ebb"/>
            </a:solidFill>
            <a:ln w="28440">
              <a:solidFill>
                <a:srgbClr val="4a7ebb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8"/>
                <c:pt idx="0">
                  <c:v>Столбец2</c:v>
                </c:pt>
                <c:pt idx="1">
                  <c:v>¸»Ïï.2 2005</c:v>
                </c:pt>
                <c:pt idx="2">
                  <c:v>ÐáõÝ. 2 2006</c:v>
                </c:pt>
                <c:pt idx="3">
                  <c:v>¸»Ïï.2 2006</c:v>
                </c:pt>
                <c:pt idx="4">
                  <c:v>ÐáõÝ. 2 2007</c:v>
                </c:pt>
                <c:pt idx="5">
                  <c:v>¸»Ïï. 2 2007</c:v>
                </c:pt>
                <c:pt idx="6">
                  <c:v>ÐáõÝ. 2 2008</c:v>
                </c:pt>
                <c:pt idx="7">
                  <c:v>¸»Ïï 2 2008</c:v>
                </c:pt>
                <c:pt idx="8">
                  <c:v>ÐáõÝ. 2 2009</c:v>
                </c:pt>
                <c:pt idx="9">
                  <c:v>¸»Ïï. 2 2009</c:v>
                </c:pt>
                <c:pt idx="10">
                  <c:v>ÐáõÝ. 2  2010</c:v>
                </c:pt>
                <c:pt idx="11">
                  <c:v>¸»Ïï.  2 2010</c:v>
                </c:pt>
                <c:pt idx="12">
                  <c:v>ÐáõÝ. 2 2011</c:v>
                </c:pt>
                <c:pt idx="13">
                  <c:v>¸»Ïï. 2 2011</c:v>
                </c:pt>
                <c:pt idx="14">
                  <c:v>ÐáõÝ. 2 2012</c:v>
                </c:pt>
                <c:pt idx="15">
                  <c:v>¸»Ïï. 2 2012</c:v>
                </c:pt>
                <c:pt idx="16">
                  <c:v>ÐáõÝ. 2 2013</c:v>
                </c:pt>
                <c:pt idx="17">
                  <c:v>¸»Ïï. 2 2013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8"/>
                <c:pt idx="0">
                  <c:v>40.3</c:v>
                </c:pt>
                <c:pt idx="1">
                  <c:v>42.1</c:v>
                </c:pt>
                <c:pt idx="2">
                  <c:v>41.9</c:v>
                </c:pt>
                <c:pt idx="3">
                  <c:v>45.6</c:v>
                </c:pt>
                <c:pt idx="4">
                  <c:v>48.6</c:v>
                </c:pt>
                <c:pt idx="5">
                  <c:v>48.9</c:v>
                </c:pt>
                <c:pt idx="6">
                  <c:v>40.3</c:v>
                </c:pt>
                <c:pt idx="7">
                  <c:v>44.6</c:v>
                </c:pt>
                <c:pt idx="8">
                  <c:v>49.3</c:v>
                </c:pt>
                <c:pt idx="9">
                  <c:v>52.6</c:v>
                </c:pt>
                <c:pt idx="10">
                  <c:v>51.9</c:v>
                </c:pt>
                <c:pt idx="11">
                  <c:v>50.3</c:v>
                </c:pt>
                <c:pt idx="12">
                  <c:v>56.3</c:v>
                </c:pt>
                <c:pt idx="13">
                  <c:v>58.7</c:v>
                </c:pt>
                <c:pt idx="14">
                  <c:v>62.3</c:v>
                </c:pt>
                <c:pt idx="15">
                  <c:v>64.5</c:v>
                </c:pt>
                <c:pt idx="16">
                  <c:v>67.4</c:v>
                </c:pt>
                <c:pt idx="17">
                  <c:v>69.9</c:v>
                </c:pt>
              </c:numCache>
            </c:numRef>
          </c:val>
        </c:ser>
        <c:ser>
          <c:idx val="1"/>
          <c:order val="1"/>
          <c:spPr>
            <a:solidFill>
              <a:srgbClr val="be4b48"/>
            </a:solidFill>
            <a:ln w="28440">
              <a:solidFill>
                <a:srgbClr val="be4b48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8"/>
                <c:pt idx="0">
                  <c:v>Столбец2</c:v>
                </c:pt>
                <c:pt idx="1">
                  <c:v>¸»Ïï.2 2005</c:v>
                </c:pt>
                <c:pt idx="2">
                  <c:v>ÐáõÝ. 2 2006</c:v>
                </c:pt>
                <c:pt idx="3">
                  <c:v>¸»Ïï.2 2006</c:v>
                </c:pt>
                <c:pt idx="4">
                  <c:v>ÐáõÝ. 2 2007</c:v>
                </c:pt>
                <c:pt idx="5">
                  <c:v>¸»Ïï. 2 2007</c:v>
                </c:pt>
                <c:pt idx="6">
                  <c:v>ÐáõÝ. 2 2008</c:v>
                </c:pt>
                <c:pt idx="7">
                  <c:v>¸»Ïï 2 2008</c:v>
                </c:pt>
                <c:pt idx="8">
                  <c:v>ÐáõÝ. 2 2009</c:v>
                </c:pt>
                <c:pt idx="9">
                  <c:v>¸»Ïï. 2 2009</c:v>
                </c:pt>
                <c:pt idx="10">
                  <c:v>ÐáõÝ. 2  2010</c:v>
                </c:pt>
                <c:pt idx="11">
                  <c:v>¸»Ïï.  2 2010</c:v>
                </c:pt>
                <c:pt idx="12">
                  <c:v>ÐáõÝ. 2 2011</c:v>
                </c:pt>
                <c:pt idx="13">
                  <c:v>¸»Ïï. 2 2011</c:v>
                </c:pt>
                <c:pt idx="14">
                  <c:v>ÐáõÝ. 2 2012</c:v>
                </c:pt>
                <c:pt idx="15">
                  <c:v>¸»Ïï. 2 2012</c:v>
                </c:pt>
                <c:pt idx="16">
                  <c:v>ÐáõÝ. 2 2013</c:v>
                </c:pt>
                <c:pt idx="17">
                  <c:v>¸»Ïï. 2 2013</c:v>
                </c:pt>
              </c:strCache>
            </c:strRef>
          </c:cat>
        </c:ser>
        <c:ser>
          <c:idx val="2"/>
          <c:order val="2"/>
          <c:spPr>
            <a:solidFill>
              <a:srgbClr val="98b855"/>
            </a:solidFill>
            <a:ln w="28440">
              <a:solidFill>
                <a:srgbClr val="98b855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8"/>
                <c:pt idx="0">
                  <c:v>Столбец2</c:v>
                </c:pt>
                <c:pt idx="1">
                  <c:v>¸»Ïï.2 2005</c:v>
                </c:pt>
                <c:pt idx="2">
                  <c:v>ÐáõÝ. 2 2006</c:v>
                </c:pt>
                <c:pt idx="3">
                  <c:v>¸»Ïï.2 2006</c:v>
                </c:pt>
                <c:pt idx="4">
                  <c:v>ÐáõÝ. 2 2007</c:v>
                </c:pt>
                <c:pt idx="5">
                  <c:v>¸»Ïï. 2 2007</c:v>
                </c:pt>
                <c:pt idx="6">
                  <c:v>ÐáõÝ. 2 2008</c:v>
                </c:pt>
                <c:pt idx="7">
                  <c:v>¸»Ïï 2 2008</c:v>
                </c:pt>
                <c:pt idx="8">
                  <c:v>ÐáõÝ. 2 2009</c:v>
                </c:pt>
                <c:pt idx="9">
                  <c:v>¸»Ïï. 2 2009</c:v>
                </c:pt>
                <c:pt idx="10">
                  <c:v>ÐáõÝ. 2  2010</c:v>
                </c:pt>
                <c:pt idx="11">
                  <c:v>¸»Ïï.  2 2010</c:v>
                </c:pt>
                <c:pt idx="12">
                  <c:v>ÐáõÝ. 2 2011</c:v>
                </c:pt>
                <c:pt idx="13">
                  <c:v>¸»Ïï. 2 2011</c:v>
                </c:pt>
                <c:pt idx="14">
                  <c:v>ÐáõÝ. 2 2012</c:v>
                </c:pt>
                <c:pt idx="15">
                  <c:v>¸»Ïï. 2 2012</c:v>
                </c:pt>
                <c:pt idx="16">
                  <c:v>ÐáõÝ. 2 2013</c:v>
                </c:pt>
                <c:pt idx="17">
                  <c:v>¸»Ïï. 2 2013</c:v>
                </c:pt>
              </c:strCache>
            </c:strRef>
          </c:cat>
        </c:ser>
        <c:marker val="0"/>
        <c:axId val="63879550"/>
        <c:axId val="67738028"/>
      </c:lineChart>
      <c:catAx>
        <c:axId val="6387955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crossAx val="67738028"/>
        <c:crossesAt val="0"/>
        <c:auto val="1"/>
        <c:lblAlgn val="ctr"/>
        <c:lblOffset val="100"/>
      </c:catAx>
      <c:valAx>
        <c:axId val="67738028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crossAx val="63879550"/>
        <c:crossesAt val="0"/>
      </c:valAx>
      <c:spPr>
        <a:solidFill>
          <a:srgbClr val="ffffff"/>
        </a:solidFill>
        <a:ln>
          <a:noFill/>
        </a:ln>
      </c:spPr>
    </c:plotArea>
    <c:plotVisOnly val="1"/>
  </c:chart>
  <c:spPr>
    <a:noFill/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cked"/>
        <c:ser>
          <c:idx val="0"/>
          <c:order val="0"/>
          <c:tx>
            <c:strRef>
              <c:f>label 0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rgbClr val="4a7ebb"/>
            </a:solidFill>
            <a:ln w="28440">
              <a:solidFill>
                <a:srgbClr val="4a7ebb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8"/>
                <c:pt idx="0">
                  <c:v>Столбец2</c:v>
                </c:pt>
                <c:pt idx="1">
                  <c:v>¸»Ïï.2 2005</c:v>
                </c:pt>
                <c:pt idx="2">
                  <c:v>ÐáõÝ. 2 2006</c:v>
                </c:pt>
                <c:pt idx="3">
                  <c:v>¸»Ïï.2 2006</c:v>
                </c:pt>
                <c:pt idx="4">
                  <c:v>ÐáõÝ. 2 2007</c:v>
                </c:pt>
                <c:pt idx="5">
                  <c:v>¸»Ïï. 2 2007</c:v>
                </c:pt>
                <c:pt idx="6">
                  <c:v>ÐáõÝ. 2 2008</c:v>
                </c:pt>
                <c:pt idx="7">
                  <c:v>¸»Ïï 2 2008</c:v>
                </c:pt>
                <c:pt idx="8">
                  <c:v>ÐáõÝ. 2 2009</c:v>
                </c:pt>
                <c:pt idx="9">
                  <c:v>¸»Ïï. 2 2009</c:v>
                </c:pt>
                <c:pt idx="10">
                  <c:v>ÐáõÝ. 2  2010</c:v>
                </c:pt>
                <c:pt idx="11">
                  <c:v>¸»Ïï.  2 2010</c:v>
                </c:pt>
                <c:pt idx="12">
                  <c:v>ÐáõÝ. 2 2011</c:v>
                </c:pt>
                <c:pt idx="13">
                  <c:v>¸»Ïï. 2 2011</c:v>
                </c:pt>
                <c:pt idx="14">
                  <c:v>ÐáõÝ. 2 2012</c:v>
                </c:pt>
                <c:pt idx="15">
                  <c:v>¸»Ïï. 2 2012</c:v>
                </c:pt>
                <c:pt idx="16">
                  <c:v>ÐáõÝ. 2 2013</c:v>
                </c:pt>
                <c:pt idx="17">
                  <c:v>¸»Ïï. 2 2013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8"/>
                <c:pt idx="0">
                  <c:v>45.3</c:v>
                </c:pt>
                <c:pt idx="1">
                  <c:v>42.6</c:v>
                </c:pt>
                <c:pt idx="2">
                  <c:v>44.3</c:v>
                </c:pt>
                <c:pt idx="3">
                  <c:v>45.7</c:v>
                </c:pt>
                <c:pt idx="4">
                  <c:v>46.8</c:v>
                </c:pt>
                <c:pt idx="5">
                  <c:v>51.2</c:v>
                </c:pt>
                <c:pt idx="6">
                  <c:v>52.6</c:v>
                </c:pt>
                <c:pt idx="7">
                  <c:v>40.2</c:v>
                </c:pt>
                <c:pt idx="8">
                  <c:v>47.4</c:v>
                </c:pt>
                <c:pt idx="9">
                  <c:v>52.9</c:v>
                </c:pt>
                <c:pt idx="10">
                  <c:v>51.7</c:v>
                </c:pt>
                <c:pt idx="11">
                  <c:v>53</c:v>
                </c:pt>
                <c:pt idx="12">
                  <c:v>54.3</c:v>
                </c:pt>
                <c:pt idx="13">
                  <c:v>56.7</c:v>
                </c:pt>
                <c:pt idx="14">
                  <c:v>62.7</c:v>
                </c:pt>
                <c:pt idx="15">
                  <c:v>64.3</c:v>
                </c:pt>
                <c:pt idx="16">
                  <c:v>68.4</c:v>
                </c:pt>
                <c:pt idx="17">
                  <c:v>70.1</c:v>
                </c:pt>
              </c:numCache>
            </c:numRef>
          </c:val>
        </c:ser>
        <c:ser>
          <c:idx val="1"/>
          <c:order val="1"/>
          <c:spPr>
            <a:solidFill>
              <a:srgbClr val="be4b48"/>
            </a:solidFill>
            <a:ln w="28440">
              <a:solidFill>
                <a:srgbClr val="be4b48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8"/>
                <c:pt idx="0">
                  <c:v>Столбец2</c:v>
                </c:pt>
                <c:pt idx="1">
                  <c:v>¸»Ïï.2 2005</c:v>
                </c:pt>
                <c:pt idx="2">
                  <c:v>ÐáõÝ. 2 2006</c:v>
                </c:pt>
                <c:pt idx="3">
                  <c:v>¸»Ïï.2 2006</c:v>
                </c:pt>
                <c:pt idx="4">
                  <c:v>ÐáõÝ. 2 2007</c:v>
                </c:pt>
                <c:pt idx="5">
                  <c:v>¸»Ïï. 2 2007</c:v>
                </c:pt>
                <c:pt idx="6">
                  <c:v>ÐáõÝ. 2 2008</c:v>
                </c:pt>
                <c:pt idx="7">
                  <c:v>¸»Ïï 2 2008</c:v>
                </c:pt>
                <c:pt idx="8">
                  <c:v>ÐáõÝ. 2 2009</c:v>
                </c:pt>
                <c:pt idx="9">
                  <c:v>¸»Ïï. 2 2009</c:v>
                </c:pt>
                <c:pt idx="10">
                  <c:v>ÐáõÝ. 2  2010</c:v>
                </c:pt>
                <c:pt idx="11">
                  <c:v>¸»Ïï.  2 2010</c:v>
                </c:pt>
                <c:pt idx="12">
                  <c:v>ÐáõÝ. 2 2011</c:v>
                </c:pt>
                <c:pt idx="13">
                  <c:v>¸»Ïï. 2 2011</c:v>
                </c:pt>
                <c:pt idx="14">
                  <c:v>ÐáõÝ. 2 2012</c:v>
                </c:pt>
                <c:pt idx="15">
                  <c:v>¸»Ïï. 2 2012</c:v>
                </c:pt>
                <c:pt idx="16">
                  <c:v>ÐáõÝ. 2 2013</c:v>
                </c:pt>
                <c:pt idx="17">
                  <c:v>¸»Ïï. 2 2013</c:v>
                </c:pt>
              </c:strCache>
            </c:strRef>
          </c:cat>
        </c:ser>
        <c:ser>
          <c:idx val="2"/>
          <c:order val="2"/>
          <c:spPr>
            <a:solidFill>
              <a:srgbClr val="98b855"/>
            </a:solidFill>
            <a:ln w="28440">
              <a:solidFill>
                <a:srgbClr val="98b855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8"/>
                <c:pt idx="0">
                  <c:v>Столбец2</c:v>
                </c:pt>
                <c:pt idx="1">
                  <c:v>¸»Ïï.2 2005</c:v>
                </c:pt>
                <c:pt idx="2">
                  <c:v>ÐáõÝ. 2 2006</c:v>
                </c:pt>
                <c:pt idx="3">
                  <c:v>¸»Ïï.2 2006</c:v>
                </c:pt>
                <c:pt idx="4">
                  <c:v>ÐáõÝ. 2 2007</c:v>
                </c:pt>
                <c:pt idx="5">
                  <c:v>¸»Ïï. 2 2007</c:v>
                </c:pt>
                <c:pt idx="6">
                  <c:v>ÐáõÝ. 2 2008</c:v>
                </c:pt>
                <c:pt idx="7">
                  <c:v>¸»Ïï 2 2008</c:v>
                </c:pt>
                <c:pt idx="8">
                  <c:v>ÐáõÝ. 2 2009</c:v>
                </c:pt>
                <c:pt idx="9">
                  <c:v>¸»Ïï. 2 2009</c:v>
                </c:pt>
                <c:pt idx="10">
                  <c:v>ÐáõÝ. 2  2010</c:v>
                </c:pt>
                <c:pt idx="11">
                  <c:v>¸»Ïï.  2 2010</c:v>
                </c:pt>
                <c:pt idx="12">
                  <c:v>ÐáõÝ. 2 2011</c:v>
                </c:pt>
                <c:pt idx="13">
                  <c:v>¸»Ïï. 2 2011</c:v>
                </c:pt>
                <c:pt idx="14">
                  <c:v>ÐáõÝ. 2 2012</c:v>
                </c:pt>
                <c:pt idx="15">
                  <c:v>¸»Ïï. 2 2012</c:v>
                </c:pt>
                <c:pt idx="16">
                  <c:v>ÐáõÝ. 2 2013</c:v>
                </c:pt>
                <c:pt idx="17">
                  <c:v>¸»Ïï. 2 2013</c:v>
                </c:pt>
              </c:strCache>
            </c:strRef>
          </c:cat>
        </c:ser>
        <c:marker val="0"/>
        <c:axId val="24928977"/>
        <c:axId val="24026865"/>
      </c:lineChart>
      <c:catAx>
        <c:axId val="24928977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crossAx val="24026865"/>
        <c:crossesAt val="0"/>
        <c:auto val="1"/>
        <c:lblAlgn val="ctr"/>
        <c:lblOffset val="100"/>
      </c:catAx>
      <c:valAx>
        <c:axId val="24026865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crossAx val="24928977"/>
        <c:crossesAt val="0"/>
      </c:valAx>
      <c:spPr>
        <a:solidFill>
          <a:srgbClr val="ffffff"/>
        </a:solidFill>
        <a:ln>
          <a:noFill/>
        </a:ln>
      </c:spPr>
    </c:plotArea>
    <c:plotVisOnly val="1"/>
  </c:chart>
  <c:spPr>
    <a:noFill/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b="1" sz="1400">
                <a:solidFill>
                  <a:srgbClr val="000000"/>
                </a:solidFill>
                <a:latin typeface="Arial Armenian"/>
              </a:rPr>
              <a:t>Ü»ñ¹ñáõÙ³ÛÇÝ åáñտֆ»ÉÇ Ï³éáõóí³ÍùÁ</a:t>
            </a:r>
          </a:p>
        </c:rich>
      </c:tx>
      <c:layout/>
    </c:title>
    <c:view3D>
      <c:rotX val="300"/>
      <c:rotY val="0"/>
      <c:rAngAx val="0"/>
      <c:perspective val="30"/>
    </c:view3D>
    <c:floor>
      <c:spPr>
        <a:solidFill>
          <a:srgbClr val="d9d9d9"/>
        </a:solidFill>
        <a:ln>
          <a:noFill/>
        </a:ln>
      </c:spPr>
    </c:floor>
    <c:backWall>
      <c:spPr>
        <a:solidFill>
          <a:srgbClr val="d9d9d9"/>
        </a:solidFill>
        <a:ln>
          <a:noFill/>
        </a:ln>
      </c:spPr>
    </c:backWall>
    <c:plotArea>
      <c:layout/>
      <c:pie3D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</c:spPr>
          <c:explosion val="0"/>
          <c:dPt>
            <c:idx val="0"/>
            <c:spPr>
              <a:solidFill>
                <a:srgbClr val="4672a8"/>
              </a:solidFill>
              <a:ln>
                <a:noFill/>
              </a:ln>
            </c:spPr>
          </c:dPt>
          <c:dPt>
            <c:idx val="1"/>
            <c:spPr>
              <a:solidFill>
                <a:srgbClr val="ab4744"/>
              </a:solidFill>
              <a:ln>
                <a:noFill/>
              </a:ln>
            </c:spPr>
          </c:dPt>
          <c:dPt>
            <c:idx val="2"/>
            <c:spPr>
              <a:solidFill>
                <a:srgbClr val="8aa64f"/>
              </a:solidFill>
              <a:ln>
                <a:noFill/>
              </a:ln>
            </c:spPr>
          </c:dPt>
          <c:dPt>
            <c:idx val="3"/>
            <c:spPr>
              <a:solidFill>
                <a:srgbClr val="725990"/>
              </a:solidFill>
              <a:ln>
                <a:noFill/>
              </a:ln>
            </c:spPr>
          </c:dPt>
          <c:dPt>
            <c:idx val="4"/>
            <c:spPr>
              <a:solidFill>
                <a:srgbClr val="4299b0"/>
              </a:solidFill>
              <a:ln>
                <a:noFill/>
              </a:ln>
            </c:spPr>
          </c:dPt>
          <c:dPt>
            <c:idx val="5"/>
            <c:spPr>
              <a:solidFill>
                <a:srgbClr val="dc853e"/>
              </a:solidFill>
              <a:ln>
                <a:noFill/>
              </a:ln>
            </c:spPr>
          </c:dPt>
          <c:dPt>
            <c:idx val="6"/>
            <c:spPr>
              <a:solidFill>
                <a:srgbClr val="93a9ce"/>
              </a:solidFill>
              <a:ln>
                <a:noFill/>
              </a:ln>
            </c:spPr>
          </c:dPt>
          <c:dPt>
            <c:idx val="7"/>
            <c:spPr>
              <a:solidFill>
                <a:srgbClr val="d09493"/>
              </a:solidFill>
              <a:ln>
                <a:noFill/>
              </a:ln>
            </c:spPr>
          </c:dPt>
          <c:dPt>
            <c:idx val="8"/>
            <c:spPr>
              <a:solidFill>
                <a:srgbClr val="b8cd97"/>
              </a:solidFill>
              <a:ln>
                <a:noFill/>
              </a:ln>
            </c:spPr>
          </c:dPt>
          <c:dPt>
            <c:idx val="9"/>
            <c:spPr>
              <a:solidFill>
                <a:srgbClr val="a99bbd"/>
              </a:solidFill>
              <a:ln>
                <a:noFill/>
              </a:ln>
            </c:spPr>
          </c:dPt>
          <c:dLbls>
            <c:dLbl>
              <c:idx val="0"/>
              <c:dLblPos val="bestFit"/>
              <c:showLegendKey val="0"/>
              <c:showVal val="0"/>
              <c:showCatName val="0"/>
              <c:showSerName val="0"/>
              <c:showPercent val="1"/>
              <c:separator>; </c:separator>
            </c:dLbl>
            <c:dLbl>
              <c:idx val="1"/>
              <c:dLblPos val="bestFit"/>
              <c:showLegendKey val="0"/>
              <c:showVal val="0"/>
              <c:showCatName val="0"/>
              <c:showSerName val="0"/>
              <c:showPercent val="1"/>
              <c:separator>; </c:separator>
            </c:dLbl>
            <c:dLbl>
              <c:idx val="2"/>
              <c:dLblPos val="bestFit"/>
              <c:showLegendKey val="0"/>
              <c:showVal val="0"/>
              <c:showCatName val="0"/>
              <c:showSerName val="0"/>
              <c:showPercent val="1"/>
              <c:separator>; </c:separator>
            </c:dLbl>
            <c:dLbl>
              <c:idx val="3"/>
              <c:dLblPos val="bestFit"/>
              <c:showLegendKey val="0"/>
              <c:showVal val="0"/>
              <c:showCatName val="0"/>
              <c:showSerName val="0"/>
              <c:showPercent val="1"/>
              <c:separator>; </c:separator>
            </c:dLbl>
            <c:dLbl>
              <c:idx val="4"/>
              <c:dLblPos val="bestFit"/>
              <c:showLegendKey val="0"/>
              <c:showVal val="0"/>
              <c:showCatName val="0"/>
              <c:showSerName val="0"/>
              <c:showPercent val="1"/>
              <c:separator>; </c:separator>
            </c:dLbl>
            <c:dLbl>
              <c:idx val="5"/>
              <c:dLblPos val="bestFit"/>
              <c:showLegendKey val="0"/>
              <c:showVal val="0"/>
              <c:showCatName val="0"/>
              <c:showSerName val="0"/>
              <c:showPercent val="1"/>
              <c:separator>; </c:separator>
            </c:dLbl>
            <c:dLbl>
              <c:idx val="6"/>
              <c:dLblPos val="bestFit"/>
              <c:showLegendKey val="0"/>
              <c:showVal val="0"/>
              <c:showCatName val="0"/>
              <c:showSerName val="0"/>
              <c:showPercent val="1"/>
              <c:separator>; </c:separator>
            </c:dLbl>
            <c:dLbl>
              <c:idx val="7"/>
              <c:dLblPos val="bestFit"/>
              <c:showLegendKey val="0"/>
              <c:showVal val="0"/>
              <c:showCatName val="0"/>
              <c:showSerName val="0"/>
              <c:showPercent val="1"/>
              <c:separator>; </c:separator>
            </c:dLbl>
            <c:dLbl>
              <c:idx val="8"/>
              <c:dLblPos val="bestFit"/>
              <c:showLegendKey val="0"/>
              <c:showVal val="0"/>
              <c:showCatName val="0"/>
              <c:showSerName val="0"/>
              <c:showPercent val="1"/>
              <c:separator>; </c:separator>
            </c:dLbl>
            <c:dLbl>
              <c:idx val="9"/>
              <c:dLblPos val="bestFit"/>
              <c:showLegendKey val="0"/>
              <c:showVal val="0"/>
              <c:showCatName val="0"/>
              <c:showSerName val="0"/>
              <c:showPercent val="1"/>
              <c:separator>; </c:separator>
            </c:dLbl>
            <c:showLegendKey val="0"/>
            <c:showVal val="0"/>
            <c:showCatName val="0"/>
            <c:showSerName val="0"/>
            <c:showPercent val="1"/>
          </c:dLbls>
          <c:cat>
            <c:strRef>
              <c:f>categories</c:f>
              <c:strCache>
                <c:ptCount val="10"/>
                <c:pt idx="0">
                  <c:v>üÇÝ³Ýë³Ï³Ý áÉáñï</c:v>
                </c:pt>
                <c:pt idx="1">
                  <c:v>²ñï³¹ñ³Ï³Ý áÉáñï</c:v>
                </c:pt>
                <c:pt idx="2">
                  <c:v>²éáÕç³å³ÑáõÃÛáõÝ</c:v>
                </c:pt>
                <c:pt idx="3">
                  <c:v>Ø³Ýñ³Í³Ë ³é¨ïñÇ áÉáñï</c:v>
                </c:pt>
                <c:pt idx="4">
                  <c:v>Ø»Í³Í³Ë ³é¨ïñÇ áÉáñï</c:v>
                </c:pt>
                <c:pt idx="5">
                  <c:v>î»Õ»Ï³ïí³Ï³Ý  ï»ËÝáÉá·Ç³Ý»ñÇ áÉáñï</c:v>
                </c:pt>
                <c:pt idx="6">
                  <c:v>ÞÇÝ³ñ³ñáõÃÛ³Ý áÉáñï</c:v>
                </c:pt>
                <c:pt idx="7">
                  <c:v>Ð³Ýù³ÑáõÙù³ÛÇÝ áÉáñï</c:v>
                </c:pt>
                <c:pt idx="8">
                  <c:v>îñ³ÝëåáñïÇ áÉáñï</c:v>
                </c:pt>
                <c:pt idx="9">
                  <c:v>¶ÛáõÕ³ïÝï»ë³Ï³Ý áÉáñï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0.307</c:v>
                </c:pt>
                <c:pt idx="1">
                  <c:v>0.174</c:v>
                </c:pt>
                <c:pt idx="2">
                  <c:v>0.117</c:v>
                </c:pt>
                <c:pt idx="3">
                  <c:v>0.095</c:v>
                </c:pt>
                <c:pt idx="4">
                  <c:v>0.086</c:v>
                </c:pt>
                <c:pt idx="5">
                  <c:v>0.07</c:v>
                </c:pt>
                <c:pt idx="6">
                  <c:v>0.061</c:v>
                </c:pt>
                <c:pt idx="7">
                  <c:v>0.041</c:v>
                </c:pt>
                <c:pt idx="8">
                  <c:v>0.031</c:v>
                </c:pt>
                <c:pt idx="9">
                  <c:v>0.018</c:v>
                </c:pt>
              </c:numCache>
            </c:numRef>
          </c:val>
        </c:ser>
      </c:pie3DChart>
      <c:spPr>
        <a:solidFill>
          <a:srgbClr val="d9d9d9"/>
        </a:solidFill>
        <a:ln>
          <a:noFill/>
        </a:ln>
      </c:spPr>
    </c:plotArea>
    <c:legend>
      <c:spPr>
        <a:noFill/>
        <a:ln>
          <a:noFill/>
        </a:ln>
      </c:spPr>
    </c:legend>
    <c:plotVisOnly val="1"/>
  </c:chart>
  <c:spPr>
    <a:noFill/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rgbClr val="4a7ebb"/>
            </a:solidFill>
            <a:ln w="28440">
              <a:solidFill>
                <a:srgbClr val="4a7ebb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8"/>
                <c:pt idx="0">
                  <c:v>Столбец2</c:v>
                </c:pt>
                <c:pt idx="1">
                  <c:v>¸»Ïï.2 2005</c:v>
                </c:pt>
                <c:pt idx="2">
                  <c:v>ÐáõÝ. 2 2006</c:v>
                </c:pt>
                <c:pt idx="3">
                  <c:v>¸»Ïï.2 2006</c:v>
                </c:pt>
                <c:pt idx="4">
                  <c:v>ÐáõÝ. 2 2007</c:v>
                </c:pt>
                <c:pt idx="5">
                  <c:v>¸»Ïï. 2 2007</c:v>
                </c:pt>
                <c:pt idx="6">
                  <c:v>ÐáõÝ. 2 2008</c:v>
                </c:pt>
                <c:pt idx="7">
                  <c:v>¸»Ïï 2 2008</c:v>
                </c:pt>
                <c:pt idx="8">
                  <c:v>ÐáõÝ. 2 2009</c:v>
                </c:pt>
                <c:pt idx="9">
                  <c:v>¸»Ïï. 2 2009</c:v>
                </c:pt>
                <c:pt idx="10">
                  <c:v>ÐáõÝ. 2  2010</c:v>
                </c:pt>
                <c:pt idx="11">
                  <c:v>¸»Ïï.  2 2010</c:v>
                </c:pt>
                <c:pt idx="12">
                  <c:v>ÐáõÝ. 2 2011</c:v>
                </c:pt>
                <c:pt idx="13">
                  <c:v>¸»Ïï. 2 2011</c:v>
                </c:pt>
                <c:pt idx="14">
                  <c:v>ÐáõÝ. 2 2012</c:v>
                </c:pt>
                <c:pt idx="15">
                  <c:v>¸»Ïï. 2 2012</c:v>
                </c:pt>
                <c:pt idx="16">
                  <c:v>ÐáõÝ. 2 2013</c:v>
                </c:pt>
                <c:pt idx="17">
                  <c:v>¸»Ïï. 2 2013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8"/>
                <c:pt idx="0">
                  <c:v>25</c:v>
                </c:pt>
                <c:pt idx="1">
                  <c:v>26</c:v>
                </c:pt>
                <c:pt idx="2">
                  <c:v>31</c:v>
                </c:pt>
                <c:pt idx="3">
                  <c:v>32.23</c:v>
                </c:pt>
                <c:pt idx="4">
                  <c:v>41.3</c:v>
                </c:pt>
                <c:pt idx="5">
                  <c:v>39.4</c:v>
                </c:pt>
                <c:pt idx="6">
                  <c:v>45.3</c:v>
                </c:pt>
                <c:pt idx="7">
                  <c:v>39.5</c:v>
                </c:pt>
                <c:pt idx="8">
                  <c:v>43.2</c:v>
                </c:pt>
                <c:pt idx="9">
                  <c:v>47.5</c:v>
                </c:pt>
                <c:pt idx="10">
                  <c:v>49.36</c:v>
                </c:pt>
                <c:pt idx="11">
                  <c:v>51.2</c:v>
                </c:pt>
                <c:pt idx="12">
                  <c:v>61.3</c:v>
                </c:pt>
                <c:pt idx="13">
                  <c:v>67.52</c:v>
                </c:pt>
                <c:pt idx="14">
                  <c:v>71.27</c:v>
                </c:pt>
                <c:pt idx="15">
                  <c:v>75.12</c:v>
                </c:pt>
                <c:pt idx="16">
                  <c:v>81.4</c:v>
                </c:pt>
                <c:pt idx="17">
                  <c:v>84.7</c:v>
                </c:pt>
              </c:numCache>
            </c:numRef>
          </c:val>
        </c:ser>
        <c:ser>
          <c:idx val="1"/>
          <c:order val="1"/>
          <c:spPr>
            <a:solidFill>
              <a:srgbClr val="be4b48"/>
            </a:solidFill>
            <a:ln w="28440">
              <a:solidFill>
                <a:srgbClr val="be4b48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8"/>
                <c:pt idx="0">
                  <c:v>Столбец2</c:v>
                </c:pt>
                <c:pt idx="1">
                  <c:v>¸»Ïï.2 2005</c:v>
                </c:pt>
                <c:pt idx="2">
                  <c:v>ÐáõÝ. 2 2006</c:v>
                </c:pt>
                <c:pt idx="3">
                  <c:v>¸»Ïï.2 2006</c:v>
                </c:pt>
                <c:pt idx="4">
                  <c:v>ÐáõÝ. 2 2007</c:v>
                </c:pt>
                <c:pt idx="5">
                  <c:v>¸»Ïï. 2 2007</c:v>
                </c:pt>
                <c:pt idx="6">
                  <c:v>ÐáõÝ. 2 2008</c:v>
                </c:pt>
                <c:pt idx="7">
                  <c:v>¸»Ïï 2 2008</c:v>
                </c:pt>
                <c:pt idx="8">
                  <c:v>ÐáõÝ. 2 2009</c:v>
                </c:pt>
                <c:pt idx="9">
                  <c:v>¸»Ïï. 2 2009</c:v>
                </c:pt>
                <c:pt idx="10">
                  <c:v>ÐáõÝ. 2  2010</c:v>
                </c:pt>
                <c:pt idx="11">
                  <c:v>¸»Ïï.  2 2010</c:v>
                </c:pt>
                <c:pt idx="12">
                  <c:v>ÐáõÝ. 2 2011</c:v>
                </c:pt>
                <c:pt idx="13">
                  <c:v>¸»Ïï. 2 2011</c:v>
                </c:pt>
                <c:pt idx="14">
                  <c:v>ÐáõÝ. 2 2012</c:v>
                </c:pt>
                <c:pt idx="15">
                  <c:v>¸»Ïï. 2 2012</c:v>
                </c:pt>
                <c:pt idx="16">
                  <c:v>ÐáõÝ. 2 2013</c:v>
                </c:pt>
                <c:pt idx="17">
                  <c:v>¸»Ïï. 2 2013</c:v>
                </c:pt>
              </c:strCache>
            </c:strRef>
          </c:cat>
        </c:ser>
        <c:ser>
          <c:idx val="2"/>
          <c:order val="2"/>
          <c:spPr>
            <a:solidFill>
              <a:srgbClr val="98b855"/>
            </a:solidFill>
            <a:ln w="28440">
              <a:solidFill>
                <a:srgbClr val="98b855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8"/>
                <c:pt idx="0">
                  <c:v>Столбец2</c:v>
                </c:pt>
                <c:pt idx="1">
                  <c:v>¸»Ïï.2 2005</c:v>
                </c:pt>
                <c:pt idx="2">
                  <c:v>ÐáõÝ. 2 2006</c:v>
                </c:pt>
                <c:pt idx="3">
                  <c:v>¸»Ïï.2 2006</c:v>
                </c:pt>
                <c:pt idx="4">
                  <c:v>ÐáõÝ. 2 2007</c:v>
                </c:pt>
                <c:pt idx="5">
                  <c:v>¸»Ïï. 2 2007</c:v>
                </c:pt>
                <c:pt idx="6">
                  <c:v>ÐáõÝ. 2 2008</c:v>
                </c:pt>
                <c:pt idx="7">
                  <c:v>¸»Ïï 2 2008</c:v>
                </c:pt>
                <c:pt idx="8">
                  <c:v>ÐáõÝ. 2 2009</c:v>
                </c:pt>
                <c:pt idx="9">
                  <c:v>¸»Ïï. 2 2009</c:v>
                </c:pt>
                <c:pt idx="10">
                  <c:v>ÐáõÝ. 2  2010</c:v>
                </c:pt>
                <c:pt idx="11">
                  <c:v>¸»Ïï.  2 2010</c:v>
                </c:pt>
                <c:pt idx="12">
                  <c:v>ÐáõÝ. 2 2011</c:v>
                </c:pt>
                <c:pt idx="13">
                  <c:v>¸»Ïï. 2 2011</c:v>
                </c:pt>
                <c:pt idx="14">
                  <c:v>ÐáõÝ. 2 2012</c:v>
                </c:pt>
                <c:pt idx="15">
                  <c:v>¸»Ïï. 2 2012</c:v>
                </c:pt>
                <c:pt idx="16">
                  <c:v>ÐáõÝ. 2 2013</c:v>
                </c:pt>
                <c:pt idx="17">
                  <c:v>¸»Ïï. 2 2013</c:v>
                </c:pt>
              </c:strCache>
            </c:strRef>
          </c:cat>
        </c:ser>
        <c:marker val="0"/>
        <c:axId val="21879865"/>
        <c:axId val="35540295"/>
      </c:lineChart>
      <c:catAx>
        <c:axId val="21879865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crossAx val="35540295"/>
        <c:crossesAt val="0"/>
        <c:auto val="1"/>
        <c:lblAlgn val="ctr"/>
        <c:lblOffset val="100"/>
      </c:catAx>
      <c:valAx>
        <c:axId val="35540295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crossAx val="21879865"/>
        <c:crossesAt val="0"/>
      </c:valAx>
      <c:spPr>
        <a:solidFill>
          <a:srgbClr val="ffffff"/>
        </a:solidFill>
        <a:ln>
          <a:noFill/>
        </a:ln>
      </c:spPr>
    </c:plotArea>
    <c:plotVisOnly val="1"/>
  </c:chart>
  <c:spPr>
    <a:noFill/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rgbClr val="4a7ebb"/>
            </a:solidFill>
            <a:ln w="28440">
              <a:solidFill>
                <a:srgbClr val="4a7ebb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8"/>
                <c:pt idx="0">
                  <c:v>Столбец2</c:v>
                </c:pt>
                <c:pt idx="1">
                  <c:v>¸»Ïï.2 2005</c:v>
                </c:pt>
                <c:pt idx="2">
                  <c:v>ÐáõÝ. 2 2006</c:v>
                </c:pt>
                <c:pt idx="3">
                  <c:v>¸»Ïï.2 2006</c:v>
                </c:pt>
                <c:pt idx="4">
                  <c:v>ÐáõÝ. 2 2007</c:v>
                </c:pt>
                <c:pt idx="5">
                  <c:v>¸»Ïï. 2 2007</c:v>
                </c:pt>
                <c:pt idx="6">
                  <c:v>ÐáõÝ. 2 2008</c:v>
                </c:pt>
                <c:pt idx="7">
                  <c:v>¸»Ïï 2 2008</c:v>
                </c:pt>
                <c:pt idx="8">
                  <c:v>ÐáõÝ. 2 2009</c:v>
                </c:pt>
                <c:pt idx="9">
                  <c:v>¸»Ïï. 2 2009</c:v>
                </c:pt>
                <c:pt idx="10">
                  <c:v>ÐáõÝ. 2  2010</c:v>
                </c:pt>
                <c:pt idx="11">
                  <c:v>¸»Ïï.  2 2010</c:v>
                </c:pt>
                <c:pt idx="12">
                  <c:v>ÐáõÝ. 2 2011</c:v>
                </c:pt>
                <c:pt idx="13">
                  <c:v>¸»Ïï. 2 2011</c:v>
                </c:pt>
                <c:pt idx="14">
                  <c:v>ÐáõÝ. 2 2012</c:v>
                </c:pt>
                <c:pt idx="15">
                  <c:v>¸»Ïï. 2 2012</c:v>
                </c:pt>
                <c:pt idx="16">
                  <c:v>ÐáõÝ. 2 2013</c:v>
                </c:pt>
                <c:pt idx="17">
                  <c:v>¸»Ïï. 2 2013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8"/>
                <c:pt idx="0">
                  <c:v>25</c:v>
                </c:pt>
                <c:pt idx="1">
                  <c:v>26</c:v>
                </c:pt>
                <c:pt idx="2">
                  <c:v>31</c:v>
                </c:pt>
                <c:pt idx="3">
                  <c:v>32.23</c:v>
                </c:pt>
                <c:pt idx="4">
                  <c:v>41.3</c:v>
                </c:pt>
                <c:pt idx="5">
                  <c:v>39.4</c:v>
                </c:pt>
                <c:pt idx="6">
                  <c:v>45.3</c:v>
                </c:pt>
                <c:pt idx="7">
                  <c:v>39.5</c:v>
                </c:pt>
                <c:pt idx="8">
                  <c:v>43.2</c:v>
                </c:pt>
                <c:pt idx="9">
                  <c:v>47.5</c:v>
                </c:pt>
                <c:pt idx="10">
                  <c:v>49.36</c:v>
                </c:pt>
                <c:pt idx="11">
                  <c:v>51.2</c:v>
                </c:pt>
                <c:pt idx="12">
                  <c:v>61.3</c:v>
                </c:pt>
                <c:pt idx="13">
                  <c:v>67.52</c:v>
                </c:pt>
                <c:pt idx="14">
                  <c:v>71.27</c:v>
                </c:pt>
                <c:pt idx="15">
                  <c:v>75.12</c:v>
                </c:pt>
                <c:pt idx="16">
                  <c:v>81.4</c:v>
                </c:pt>
                <c:pt idx="17">
                  <c:v>84.7</c:v>
                </c:pt>
              </c:numCache>
            </c:numRef>
          </c:val>
        </c:ser>
        <c:ser>
          <c:idx val="1"/>
          <c:order val="1"/>
          <c:spPr>
            <a:solidFill>
              <a:srgbClr val="be4b48"/>
            </a:solidFill>
            <a:ln w="28440">
              <a:solidFill>
                <a:srgbClr val="be4b48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8"/>
                <c:pt idx="0">
                  <c:v>Столбец2</c:v>
                </c:pt>
                <c:pt idx="1">
                  <c:v>¸»Ïï.2 2005</c:v>
                </c:pt>
                <c:pt idx="2">
                  <c:v>ÐáõÝ. 2 2006</c:v>
                </c:pt>
                <c:pt idx="3">
                  <c:v>¸»Ïï.2 2006</c:v>
                </c:pt>
                <c:pt idx="4">
                  <c:v>ÐáõÝ. 2 2007</c:v>
                </c:pt>
                <c:pt idx="5">
                  <c:v>¸»Ïï. 2 2007</c:v>
                </c:pt>
                <c:pt idx="6">
                  <c:v>ÐáõÝ. 2 2008</c:v>
                </c:pt>
                <c:pt idx="7">
                  <c:v>¸»Ïï 2 2008</c:v>
                </c:pt>
                <c:pt idx="8">
                  <c:v>ÐáõÝ. 2 2009</c:v>
                </c:pt>
                <c:pt idx="9">
                  <c:v>¸»Ïï. 2 2009</c:v>
                </c:pt>
                <c:pt idx="10">
                  <c:v>ÐáõÝ. 2  2010</c:v>
                </c:pt>
                <c:pt idx="11">
                  <c:v>¸»Ïï.  2 2010</c:v>
                </c:pt>
                <c:pt idx="12">
                  <c:v>ÐáõÝ. 2 2011</c:v>
                </c:pt>
                <c:pt idx="13">
                  <c:v>¸»Ïï. 2 2011</c:v>
                </c:pt>
                <c:pt idx="14">
                  <c:v>ÐáõÝ. 2 2012</c:v>
                </c:pt>
                <c:pt idx="15">
                  <c:v>¸»Ïï. 2 2012</c:v>
                </c:pt>
                <c:pt idx="16">
                  <c:v>ÐáõÝ. 2 2013</c:v>
                </c:pt>
                <c:pt idx="17">
                  <c:v>¸»Ïï. 2 2013</c:v>
                </c:pt>
              </c:strCache>
            </c:strRef>
          </c:cat>
        </c:ser>
        <c:ser>
          <c:idx val="2"/>
          <c:order val="2"/>
          <c:spPr>
            <a:solidFill>
              <a:srgbClr val="98b855"/>
            </a:solidFill>
            <a:ln w="28440">
              <a:solidFill>
                <a:srgbClr val="98b855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8"/>
                <c:pt idx="0">
                  <c:v>Столбец2</c:v>
                </c:pt>
                <c:pt idx="1">
                  <c:v>¸»Ïï.2 2005</c:v>
                </c:pt>
                <c:pt idx="2">
                  <c:v>ÐáõÝ. 2 2006</c:v>
                </c:pt>
                <c:pt idx="3">
                  <c:v>¸»Ïï.2 2006</c:v>
                </c:pt>
                <c:pt idx="4">
                  <c:v>ÐáõÝ. 2 2007</c:v>
                </c:pt>
                <c:pt idx="5">
                  <c:v>¸»Ïï. 2 2007</c:v>
                </c:pt>
                <c:pt idx="6">
                  <c:v>ÐáõÝ. 2 2008</c:v>
                </c:pt>
                <c:pt idx="7">
                  <c:v>¸»Ïï 2 2008</c:v>
                </c:pt>
                <c:pt idx="8">
                  <c:v>ÐáõÝ. 2 2009</c:v>
                </c:pt>
                <c:pt idx="9">
                  <c:v>¸»Ïï. 2 2009</c:v>
                </c:pt>
                <c:pt idx="10">
                  <c:v>ÐáõÝ. 2  2010</c:v>
                </c:pt>
                <c:pt idx="11">
                  <c:v>¸»Ïï.  2 2010</c:v>
                </c:pt>
                <c:pt idx="12">
                  <c:v>ÐáõÝ. 2 2011</c:v>
                </c:pt>
                <c:pt idx="13">
                  <c:v>¸»Ïï. 2 2011</c:v>
                </c:pt>
                <c:pt idx="14">
                  <c:v>ÐáõÝ. 2 2012</c:v>
                </c:pt>
                <c:pt idx="15">
                  <c:v>¸»Ïï. 2 2012</c:v>
                </c:pt>
                <c:pt idx="16">
                  <c:v>ÐáõÝ. 2 2013</c:v>
                </c:pt>
                <c:pt idx="17">
                  <c:v>¸»Ïï. 2 2013</c:v>
                </c:pt>
              </c:strCache>
            </c:strRef>
          </c:cat>
        </c:ser>
        <c:marker val="0"/>
        <c:axId val="57275357"/>
        <c:axId val="49638163"/>
      </c:lineChart>
      <c:catAx>
        <c:axId val="57275357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crossAx val="49638163"/>
        <c:crossesAt val="0"/>
        <c:auto val="1"/>
        <c:lblAlgn val="ctr"/>
        <c:lblOffset val="100"/>
      </c:catAx>
      <c:valAx>
        <c:axId val="49638163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crossAx val="57275357"/>
        <c:crossesAt val="0"/>
      </c:valAx>
      <c:spPr>
        <a:solidFill>
          <a:srgbClr val="ffffff"/>
        </a:solidFill>
        <a:ln>
          <a:noFill/>
        </a:ln>
      </c:spPr>
    </c:plotArea>
    <c:plotVisOnly val="1"/>
  </c:chart>
  <c:spPr>
    <a:noFill/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2015-11-17T15:48:00Z</dcterms:created>
  <dc:creator>Арман</dc:creator>
  <dc:language>en-US</dc:language>
  <cp:lastModifiedBy>USER</cp:lastModifiedBy>
  <dcterms:modified xsi:type="dcterms:W3CDTF">2015-11-18T17:28:00Z</dcterms:modified>
  <cp:revision>10</cp:revision>
</cp:coreProperties>
</file>