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PATIENT NAME:</w:t>
        <w:tab/>
        <w:tab/>
        <w:tab/>
        <w:t xml:space="preserve">CARL MAYFIELD</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 PREPARED:</w:t>
        <w:tab/>
        <w:tab/>
        <w:tab/>
        <w:t xml:space="preserve">11/12/2025</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TOTAL NUMBER OF PAGES: </w:t>
        <w:tab/>
        <w:t xml:space="preserve">32 + 68 = 100</w:t>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ATTESTATION</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Signed by Margie Gollena</w:t>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10/17/2025.  Attestation.  From CONCENTRA-ONTARI</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 Attesting to 32 pages being submitted for review.</w:t>
      </w: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Signed by Margie Gollena</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3-4 - OT_8896048_ME_Records_001</w:t>
      </w: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vertAlign w:val="baseline"/>
        </w:rPr>
      </w:pPr>
      <w:hyperlink r:id="rId6">
        <w:r>
          <w:rPr>
            <w:color w:val="0563C1"/>
            <w:u w:val="single"/>
          </w:rPr>
          <w:t>10/17/25.  Attestation.   From KAISER PERMANENTE MEDICAL CENTER</w:t>
        </w:r>
      </w:hyperlink>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MEDICAL RECORDS:</w:t>
      </w:r>
    </w:p>
    <w:p w:rsidR="00000000" w:rsidDel="00000000" w:rsidP="00000000" w:rsidRDefault="00000000" w:rsidRPr="00000000" w14:paraId="00000012">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tabs>
          <w:tab w:val="left" w:leader="none" w:pos="3480"/>
        </w:tabs>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20-23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Fonts w:ascii="Times New Roman" w:cs="Times New Roman" w:eastAsia="Times New Roman" w:hAnsi="Times New Roman"/>
          <w:sz w:val="24"/>
          <w:szCs w:val="24"/>
          <w:u w:val="single"/>
          <w:vertAlign w:val="baseline"/>
          <w:rtl w:val="0"/>
        </w:rPr>
        <w:t xml:space="preserve"> </w:t>
      </w:r>
    </w:p>
    <w:p w:rsidR="00000000" w:rsidDel="00000000" w:rsidP="00000000" w:rsidRDefault="00000000" w:rsidRPr="00000000" w14:paraId="00000014">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7">
        <w:r>
          <w:rPr>
            <w:color w:val="0563C1"/>
            <w:u w:val="single"/>
          </w:rPr>
          <w:t>04/05/13.  Progress Note.  US HEALTHWORKS MEDICAL GROUP</w:t>
        </w:r>
      </w:hyperlink>
    </w:p>
    <w:p w:rsidR="00000000" w:rsidDel="00000000" w:rsidP="00000000" w:rsidRDefault="00000000" w:rsidRPr="00000000" w14:paraId="00000015">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16">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25-27, 29-31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7">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14">
        <w:r>
          <w:rPr>
            <w:rStyle w:val="Hyperlink"/>
            <w:color w:val="0563C1"/>
            <w:u w:val="single"/>
            <w:b/>
          </w:rPr>
          <w:t>04/10/13.  Primary Treating Physician’s Progress Report (PR-2).  US HEALTHWORKS MEDICAL GROUP</w:t>
        </w:r>
      </w:hyperlink>
    </w:p>
    <w:p w:rsidR="00000000" w:rsidDel="00000000" w:rsidP="00000000" w:rsidRDefault="00000000" w:rsidRPr="00000000" w14:paraId="00000018">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19">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12-18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A">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8">
        <w:r>
          <w:rPr>
            <w:color w:val="0563C1"/>
            <w:u w:val="single"/>
          </w:rPr>
          <w:t>04/12/13.  Primary Treating Physician’s Progress Report (PR-2).  US HealthWorks Medical Group</w:t>
        </w:r>
      </w:hyperlink>
    </w:p>
    <w:p w:rsidR="00000000" w:rsidDel="00000000" w:rsidP="00000000" w:rsidRDefault="00000000" w:rsidRPr="00000000" w14:paraId="0000001B">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17-26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vertAlign w:val="baseline"/>
        </w:rPr>
      </w:pPr>
      <w:hyperlink r:id="rId9">
        <w:r>
          <w:rPr>
            <w:color w:val="0563C1"/>
            <w:u w:val="single"/>
          </w:rPr>
          <w:t>04/14/21. Doctor's First Report of Occupational Injury or Illness. KAISER PERMANENTE</w:t>
        </w:r>
      </w:hyperlink>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26-33 -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vertAlign w:val="baseline"/>
        </w:rPr>
      </w:pPr>
      <w:hyperlink r:id="rId10">
        <w:r>
          <w:rPr>
            <w:color w:val="0563C1"/>
            <w:u w:val="single"/>
          </w:rPr>
          <w:t>04/29/21. Physician's Progress Notes. KAISER PERMANENTE</w:t>
        </w:r>
      </w:hyperlink>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36-43 -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vertAlign w:val="baseline"/>
        </w:rPr>
      </w:pPr>
      <w:hyperlink r:id="rId11">
        <w:r>
          <w:rPr>
            <w:color w:val="0563C1"/>
            <w:u w:val="single"/>
          </w:rPr>
          <w:t>05/17/21. Physician's Progress Notes. KAISER PERMANENTE</w:t>
        </w:r>
      </w:hyperlink>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43-50 -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vertAlign w:val="baseline"/>
        </w:rPr>
      </w:pPr>
      <w:hyperlink r:id="rId12">
        <w:r>
          <w:rPr>
            <w:color w:val="0563C1"/>
            <w:u w:val="single"/>
          </w:rPr>
          <w:t>06/07/21. Physician's Progress Notes. KAISER PERMANENTE</w:t>
        </w:r>
      </w:hyperlink>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Jeffrey Chao, MD (Emergency Medicine) </w:t>
      </w:r>
      <w:r w:rsidDel="00000000" w:rsidR="00000000" w:rsidRPr="00000000">
        <w:rPr>
          <w:rFonts w:ascii="Times New Roman" w:cs="Times New Roman" w:eastAsia="Times New Roman" w:hAnsi="Times New Roman"/>
          <w:b w:val="1"/>
          <w:bCs w:val="1"/>
          <w:sz w:val="24"/>
          <w:szCs w:val="24"/>
          <w:vertAlign w:val="baseline"/>
          <w:rtl w:val="0"/>
        </w:rPr>
        <w:t xml:space="preserve">51-66 -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u w:val="single"/>
          <w:vertAlign w:val="baseline"/>
        </w:rPr>
      </w:pPr>
      <w:hyperlink r:id="rId13">
        <w:r>
          <w:rPr>
            <w:color w:val="0563C1"/>
            <w:u w:val="single"/>
          </w:rPr>
          <w:t>03/05/21. Emergency Department Record. KAISER PERMANENTE</w:t>
        </w:r>
      </w:hyperlink>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MISCELLANEOUS RECORDS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Proof of service by mail, notice of deposition, declaration for subpoena duces tecum, Subpoena Duces Tecum, proof of service of notice to consumer or employee and objection, attachment, work status, certification of records, history, notice, subpoena, message, declaration for custodian records, LVN note and care plan were reviewed but not summarized.</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1811"/>
        <w:gridCol w:w="1102"/>
        <w:gridCol w:w="1243"/>
        <w:gridCol w:w="808"/>
        <w:gridCol w:w="1130"/>
        <w:gridCol w:w="1830"/>
        <w:tblGridChange w:id="0">
          <w:tblGrid>
            <w:gridCol w:w="1092"/>
            <w:gridCol w:w="1811"/>
            <w:gridCol w:w="1102"/>
            <w:gridCol w:w="1243"/>
            <w:gridCol w:w="808"/>
            <w:gridCol w:w="1130"/>
            <w:gridCol w:w="1830"/>
          </w:tblGrid>
        </w:tblGridChange>
      </w:tblGrid>
      <w:tr>
        <w:trPr>
          <w:cantSplit w:val="0"/>
          <w:tblHeader w:val="0"/>
        </w:trPr>
        <w:tc>
          <w:tcPr>
            <w:vAlign w:val="top"/>
          </w:tcPr>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w:t>
            </w:r>
          </w:p>
        </w:tc>
        <w:tc>
          <w:tcPr>
            <w:vAlign w:val="top"/>
          </w:tcPr>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PROVIDER</w:t>
            </w:r>
          </w:p>
        </w:tc>
        <w:tc>
          <w:tcPr>
            <w:vAlign w:val="top"/>
          </w:tcPr>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BP MMHG</w:t>
            </w:r>
          </w:p>
        </w:tc>
        <w:tc>
          <w:tcPr>
            <w:vAlign w:val="top"/>
          </w:tcPr>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WEIGHT LBS</w:t>
            </w:r>
          </w:p>
        </w:tc>
        <w:tc>
          <w:tcPr>
            <w:vAlign w:val="top"/>
          </w:tcPr>
          <w:p w:rsidR="00000000" w:rsidDel="00000000" w:rsidP="00000000" w:rsidRDefault="00000000" w:rsidRPr="00000000" w14:paraId="00000031">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SPO2</w:t>
            </w:r>
          </w:p>
        </w:tc>
        <w:tc>
          <w:tcPr>
            <w:vAlign w:val="top"/>
          </w:tcPr>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SUGAR</w:t>
            </w:r>
          </w:p>
        </w:tc>
        <w:tc>
          <w:tcPr>
            <w:vAlign w:val="top"/>
          </w:tcPr>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MEDICATION</w:t>
            </w:r>
          </w:p>
        </w:tc>
      </w:tr>
      <w:tr>
        <w:trPr>
          <w:cantSplit w:val="0"/>
          <w:tblHeader w:val="0"/>
        </w:trPr>
        <w:tc>
          <w:tcPr>
            <w:vAlign w:val="top"/>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04/05/13</w:t>
            </w:r>
            <w:r w:rsidDel="00000000" w:rsidR="00000000" w:rsidRPr="00000000">
              <w:rPr>
                <w:rtl w:val="0"/>
              </w:rPr>
            </w:r>
          </w:p>
        </w:tc>
        <w:tc>
          <w:tcPr>
            <w:vAlign w:val="top"/>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110/70</w:t>
            </w:r>
            <w:r w:rsidDel="00000000" w:rsidR="00000000" w:rsidRPr="00000000">
              <w:rPr>
                <w:rtl w:val="0"/>
              </w:rPr>
            </w:r>
          </w:p>
        </w:tc>
        <w:tc>
          <w:tcPr>
            <w:vAlign w:val="top"/>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270</w:t>
            </w:r>
            <w:r w:rsidDel="00000000" w:rsidR="00000000" w:rsidRPr="00000000">
              <w:rPr>
                <w:rtl w:val="0"/>
              </w:rPr>
            </w:r>
          </w:p>
        </w:tc>
        <w:tc>
          <w:tcPr>
            <w:vAlign w:val="top"/>
          </w:tcPr>
          <w:p w:rsidR="00000000" w:rsidDel="00000000" w:rsidP="00000000" w:rsidRDefault="00000000" w:rsidRPr="00000000" w14:paraId="00000038">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9">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04/10/13</w:t>
            </w:r>
            <w:r w:rsidDel="00000000" w:rsidR="00000000" w:rsidRPr="00000000">
              <w:rPr>
                <w:rtl w:val="0"/>
              </w:rPr>
            </w:r>
          </w:p>
        </w:tc>
        <w:tc>
          <w:tcPr>
            <w:vAlign w:val="top"/>
          </w:tcPr>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110/68</w:t>
            </w:r>
            <w:r w:rsidDel="00000000" w:rsidR="00000000" w:rsidRPr="00000000">
              <w:rPr>
                <w:rtl w:val="0"/>
              </w:rPr>
            </w:r>
          </w:p>
        </w:tc>
        <w:tc>
          <w:tcPr>
            <w:vAlign w:val="top"/>
          </w:tcPr>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04/12/13</w:t>
            </w:r>
            <w:r w:rsidDel="00000000" w:rsidR="00000000" w:rsidRPr="00000000">
              <w:rPr>
                <w:rtl w:val="0"/>
              </w:rPr>
            </w:r>
          </w:p>
        </w:tc>
        <w:tc>
          <w:tcPr>
            <w:vAlign w:val="top"/>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148/84</w:t>
            </w:r>
            <w:r w:rsidDel="00000000" w:rsidR="00000000" w:rsidRPr="00000000">
              <w:rPr>
                <w:rtl w:val="0"/>
              </w:rPr>
            </w:r>
          </w:p>
        </w:tc>
        <w:tc>
          <w:tcPr>
            <w:vAlign w:val="top"/>
          </w:tcPr>
          <w:p w:rsidR="00000000" w:rsidDel="00000000" w:rsidP="00000000" w:rsidRDefault="00000000" w:rsidRPr="00000000" w14:paraId="0000004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04/14/21</w:t>
            </w:r>
          </w:p>
        </w:tc>
        <w:tc>
          <w:tcPr>
            <w:vAlign w:val="top"/>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Quincy Bascombe, MD</w:t>
            </w:r>
          </w:p>
        </w:tc>
        <w:tc>
          <w:tcPr>
            <w:vAlign w:val="top"/>
          </w:tcPr>
          <w:p w:rsidR="00000000" w:rsidDel="00000000" w:rsidP="00000000" w:rsidRDefault="00000000" w:rsidRPr="00000000" w14:paraId="0000004B">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Tylenol</w:t>
            </w:r>
          </w:p>
        </w:tc>
      </w:tr>
      <w:tr>
        <w:trPr>
          <w:cantSplit w:val="0"/>
          <w:tblHeader w:val="0"/>
        </w:trPr>
        <w:tc>
          <w:tcPr>
            <w:vAlign w:val="top"/>
          </w:tcPr>
          <w:p w:rsidR="00000000" w:rsidDel="00000000" w:rsidP="00000000" w:rsidRDefault="00000000" w:rsidRPr="00000000" w14:paraId="0000005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03/05/21</w:t>
            </w:r>
          </w:p>
        </w:tc>
        <w:tc>
          <w:tcPr>
            <w:vAlign w:val="top"/>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Jeffrey Chao, MD</w:t>
            </w:r>
          </w:p>
        </w:tc>
        <w:tc>
          <w:tcPr>
            <w:vAlign w:val="top"/>
          </w:tcPr>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117/72, 173/84</w:t>
            </w:r>
          </w:p>
        </w:tc>
        <w:tc>
          <w:tcPr>
            <w:vAlign w:val="top"/>
          </w:tcPr>
          <w:p w:rsidR="00000000" w:rsidDel="00000000" w:rsidP="00000000" w:rsidRDefault="00000000" w:rsidRPr="00000000" w14:paraId="00000053">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298</w:t>
            </w:r>
          </w:p>
        </w:tc>
        <w:tc>
          <w:tcPr>
            <w:vAlign w:val="top"/>
          </w:tcPr>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97%, 95%</w:t>
            </w:r>
          </w:p>
        </w:tc>
        <w:tc>
          <w:tcPr>
            <w:vAlign w:val="top"/>
          </w:tcPr>
          <w:p w:rsidR="00000000" w:rsidDel="00000000" w:rsidP="00000000" w:rsidRDefault="00000000" w:rsidRPr="00000000" w14:paraId="0000005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Tylenol</w:t>
            </w:r>
          </w:p>
        </w:tc>
      </w:tr>
    </w:tbl>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59" w:lineRule="auto"/>
    </w:pPr>
    <w:rPr>
      <w:rFonts w:ascii="Play" w:cs="Play" w:eastAsia="Play" w:hAnsi="Play"/>
      <w:color w:val="0f4760"/>
      <w:sz w:val="40"/>
      <w:szCs w:val="40"/>
      <w:vertAlign w:val="baseline"/>
    </w:rPr>
  </w:style>
  <w:style w:type="paragraph" w:styleId="Heading2">
    <w:name w:val="heading 2"/>
    <w:basedOn w:val="Normal"/>
    <w:next w:val="Normal"/>
    <w:pPr>
      <w:keepNext w:val="1"/>
      <w:keepLines w:val="1"/>
      <w:spacing w:after="0" w:before="0" w:line="259" w:lineRule="auto"/>
    </w:pPr>
    <w:rPr>
      <w:rFonts w:ascii="Play" w:cs="Play" w:eastAsia="Play" w:hAnsi="Play"/>
      <w:color w:val="0f4760"/>
      <w:sz w:val="32"/>
      <w:szCs w:val="32"/>
      <w:vertAlign w:val="baseline"/>
    </w:rPr>
  </w:style>
  <w:style w:type="paragraph" w:styleId="Heading3">
    <w:name w:val="heading 3"/>
    <w:basedOn w:val="Normal"/>
    <w:next w:val="Normal"/>
    <w:pPr>
      <w:keepNext w:val="1"/>
      <w:keepLines w:val="1"/>
      <w:spacing w:after="0" w:before="0" w:line="259" w:lineRule="auto"/>
    </w:pPr>
    <w:rPr>
      <w:rFonts w:ascii="Calibri" w:cs="Calibri" w:eastAsia="Calibri" w:hAnsi="Calibri"/>
      <w:color w:val="0f4760"/>
      <w:sz w:val="28"/>
      <w:szCs w:val="28"/>
      <w:vertAlign w:val="baseline"/>
    </w:rPr>
  </w:style>
  <w:style w:type="paragraph" w:styleId="Heading4">
    <w:name w:val="heading 4"/>
    <w:basedOn w:val="Normal"/>
    <w:next w:val="Normal"/>
    <w:pPr>
      <w:keepNext w:val="1"/>
      <w:keepLines w:val="1"/>
      <w:spacing w:after="0" w:before="0" w:line="259" w:lineRule="auto"/>
    </w:pPr>
    <w:rPr>
      <w:rFonts w:ascii="Calibri" w:cs="Calibri" w:eastAsia="Calibri" w:hAnsi="Calibri"/>
      <w:i w:val="1"/>
      <w:iCs w:val="1"/>
      <w:color w:val="0f4760"/>
      <w:sz w:val="22"/>
      <w:szCs w:val="22"/>
      <w:vertAlign w:val="baseline"/>
    </w:rPr>
  </w:style>
  <w:style w:type="paragraph" w:styleId="Heading5">
    <w:name w:val="heading 5"/>
    <w:basedOn w:val="Normal"/>
    <w:next w:val="Normal"/>
    <w:pPr>
      <w:keepNext w:val="1"/>
      <w:keepLines w:val="1"/>
      <w:spacing w:after="0" w:before="0" w:line="259" w:lineRule="auto"/>
    </w:pPr>
    <w:rPr>
      <w:rFonts w:ascii="Calibri" w:cs="Calibri" w:eastAsia="Calibri" w:hAnsi="Calibri"/>
      <w:color w:val="0f4760"/>
      <w:sz w:val="22"/>
      <w:szCs w:val="22"/>
      <w:vertAlign w:val="baseline"/>
    </w:rPr>
  </w:style>
  <w:style w:type="paragraph" w:styleId="Heading6">
    <w:name w:val="heading 6"/>
    <w:basedOn w:val="Normal"/>
    <w:next w:val="Normal"/>
    <w:pPr>
      <w:keepNext w:val="1"/>
      <w:keepLines w:val="1"/>
      <w:spacing w:after="0" w:before="0" w:line="259" w:lineRule="auto"/>
    </w:pPr>
    <w:rPr>
      <w:rFonts w:ascii="Calibri" w:cs="Calibri" w:eastAsia="Calibri" w:hAnsi="Calibri"/>
      <w:i w:val="1"/>
      <w:iCs w:val="1"/>
      <w:color w:val="565656"/>
      <w:sz w:val="22"/>
      <w:szCs w:val="22"/>
      <w:vertAlign w:val="baseline"/>
    </w:rPr>
  </w:style>
  <w:style w:type="paragraph" w:styleId="Title">
    <w:name w:val="Title"/>
    <w:basedOn w:val="Normal"/>
    <w:next w:val="Normal"/>
    <w:pPr>
      <w:spacing w:after="0" w:line="240" w:lineRule="auto"/>
    </w:pPr>
    <w:rPr>
      <w:rFonts w:ascii="Play" w:cs="Play" w:eastAsia="Play" w:hAnsi="Play"/>
      <w:sz w:val="56"/>
      <w:szCs w:val="56"/>
      <w:vertAlign w:val="baseline"/>
    </w:rPr>
  </w:style>
  <w:style w:type="paragraph" w:styleId="Subtitle">
    <w:name w:val="Subtitle"/>
    <w:basedOn w:val="Normal"/>
    <w:next w:val="Normal"/>
    <w:pPr>
      <w:spacing w:after="0" w:line="259" w:lineRule="auto"/>
    </w:pPr>
    <w:rPr>
      <w:rFonts w:ascii="Calibri" w:cs="Calibri" w:eastAsia="Calibri" w:hAnsi="Calibri"/>
      <w:color w:val="565656"/>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rO_nEFxhIEapwWs7c0FHtXTgSqhlLbw/view?usp=drivesdk" TargetMode="External"/><Relationship Id="rId7" Type="http://schemas.openxmlformats.org/officeDocument/2006/relationships/hyperlink" Target="https://drive.google.com/file/d/1--url7W91UB67YAB2NdG8AqV48EWzsOS/view?usp=drivesdk" TargetMode="External"/><Relationship Id="rId8" Type="http://schemas.openxmlformats.org/officeDocument/2006/relationships/hyperlink" Target="https://drive.google.com/file/d/15u4oarEsr15NBpsiF30pgION0GR_NmX4/view?usp=drivesdk" TargetMode="External"/><Relationship Id="rId9" Type="http://schemas.openxmlformats.org/officeDocument/2006/relationships/hyperlink" Target="https://drive.google.com/file/d/1xcEYxBoQN_hdo2OtnhIM0p9YeURmKTlw/view?usp=drivesdk" TargetMode="External"/><Relationship Id="rId10" Type="http://schemas.openxmlformats.org/officeDocument/2006/relationships/hyperlink" Target="https://drive.google.com/file/d/1aLupamOB9HW73jZHntfPGBkhF1vUTPen/view?usp=drivesdk" TargetMode="External"/><Relationship Id="rId11" Type="http://schemas.openxmlformats.org/officeDocument/2006/relationships/hyperlink" Target="https://drive.google.com/file/d/1PmkBaGlWFDMybS_RUwNiiEisO4b4gOmD/view?usp=drivesdk" TargetMode="External"/><Relationship Id="rId12" Type="http://schemas.openxmlformats.org/officeDocument/2006/relationships/hyperlink" Target="https://drive.google.com/file/d/1NQPDw-NI6hZS3NtWJddCUec3WXcFU4hS/view?usp=drivesdk" TargetMode="External"/><Relationship Id="rId13" Type="http://schemas.openxmlformats.org/officeDocument/2006/relationships/hyperlink" Target="https://drive.google.com/file/d/1vNcbJK8ENfeeIMjtJsK1RF97qDWpwt-6/view?usp=drivesdk" TargetMode="External"/><Relationship Id="rId14" Type="http://schemas.openxmlformats.org/officeDocument/2006/relationships/hyperlink" Target="https://drive.google.com/file/d/TEST_25-27/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1033-9.1.0.4058</vt:lpwstr>
  </property>
</Properties>
</file>