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r>
        <w:rPr>
          <w:rFonts w:ascii="Arial" w:cs="Arial" w:eastAsia="Arial" w:hAnsi="Arial"/>
        </w:rPr>
        <w:t xml:space="preserve"/>
      </w:r>
    </w:p>
    <w:p>
      <w:pPr>
        <w:spacing w:after="80" w:before="0"/>
        <w:jc w:val="center"/>
      </w:pPr>
      <w:r>
        <w:rPr>
          <w:rFonts w:ascii="Arial" w:cs="Arial" w:eastAsia="Arial" w:hAnsi="Arial"/>
          <w:b/>
          <w:bCs/>
          <w:color w:val="1F3864"/>
          <w:sz w:val="52"/>
          <w:szCs w:val="52"/>
        </w:rPr>
        <w:t xml:space="preserve">RFQ / RFP Document Intelligence Platform</w:t>
      </w:r>
    </w:p>
    <w:p>
      <w:pPr>
        <w:spacing w:after="160" w:before="0"/>
        <w:jc w:val="center"/>
      </w:pPr>
      <w:r>
        <w:rPr>
          <w:rFonts w:ascii="Arial" w:cs="Arial" w:eastAsia="Arial" w:hAnsi="Arial"/>
          <w:color w:val="2E5E9E"/>
          <w:sz w:val="34"/>
          <w:szCs w:val="34"/>
        </w:rPr>
        <w:t xml:space="preserve">Proposal</w:t>
      </w:r>
    </w:p>
    <w:p>
      <w:pPr>
        <w:pBdr>
          <w:bottom w:val="single" w:color="B0BFCE" w:sz="4" w:space="1"/>
        </w:pBdr>
        <w:spacing w:after="100" w:before="100"/>
      </w:pPr>
    </w:p>
    <w:p>
      <w:r>
        <w:rPr>
          <w:rFonts w:ascii="Arial" w:cs="Arial" w:eastAsia="Arial" w:hAnsi="Arial"/>
        </w:rPr>
        <w:t xml:space="preserve"/>
      </w:r>
    </w:p>
    <w:p>
      <w:pPr>
        <w:spacing w:after="40" w:before="60"/>
        <w:jc w:val="center"/>
      </w:pPr>
      <w:r>
        <w:rPr>
          <w:rFonts w:ascii="Arial" w:cs="Arial" w:eastAsia="Arial" w:hAnsi="Arial"/>
          <w:sz w:val="23"/>
          <w:szCs w:val="23"/>
        </w:rPr>
        <w:t xml:space="preserve">Prepared for:   [Client Name]</w:t>
      </w:r>
    </w:p>
    <w:p>
      <w:pPr>
        <w:spacing w:after="40" w:before="40"/>
        <w:jc w:val="center"/>
      </w:pPr>
      <w:r>
        <w:rPr>
          <w:rFonts w:ascii="Arial" w:cs="Arial" w:eastAsia="Arial" w:hAnsi="Arial"/>
          <w:sz w:val="23"/>
          <w:szCs w:val="23"/>
        </w:rPr>
        <w:t xml:space="preserve">Prepared by:   [Your Organization]</w:t>
      </w:r>
    </w:p>
    <w:p>
      <w:pPr>
        <w:spacing w:after="40" w:before="40"/>
        <w:jc w:val="center"/>
      </w:pPr>
      <w:r>
        <w:rPr>
          <w:rFonts w:ascii="Arial" w:cs="Arial" w:eastAsia="Arial" w:hAnsi="Arial"/>
          <w:sz w:val="23"/>
          <w:szCs w:val="23"/>
        </w:rPr>
        <w:t xml:space="preserve">Date:   23 June 2026</w:t>
      </w:r>
    </w:p>
    <w:p>
      <w:pPr>
        <w:spacing w:after="40" w:before="40"/>
        <w:jc w:val="center"/>
      </w:pPr>
      <w:r>
        <w:rPr>
          <w:rFonts w:ascii="Arial" w:cs="Arial" w:eastAsia="Arial" w:hAnsi="Arial"/>
          <w:i/>
          <w:iCs/>
          <w:color w:val="888888"/>
          <w:sz w:val="20"/>
          <w:szCs w:val="20"/>
        </w:rPr>
        <w:t xml:space="preserve">Confidential</w:t>
      </w:r>
    </w:p>
    <w:p>
      <w:r>
        <w:br w:type="page"/>
      </w:r>
    </w:p>
    <w:p>
      <w:pPr>
        <w:pStyle w:val="Heading1"/>
        <w:spacing w:after="120" w:before="320"/>
      </w:pPr>
      <w:r>
        <w:rPr>
          <w:rFonts w:ascii="Arial" w:cs="Arial" w:eastAsia="Arial" w:hAnsi="Arial"/>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320"/>
      </w:pPr>
      <w:r>
        <w:rPr>
          <w:rFonts w:ascii="Arial" w:cs="Arial" w:eastAsia="Arial" w:hAnsi="Arial"/>
          <w:b/>
          <w:bCs/>
          <w:color w:val="1F3864"/>
          <w:sz w:val="30"/>
          <w:szCs w:val="30"/>
        </w:rPr>
        <w:t xml:space="preserve">1. What We Are Building</w:t>
      </w:r>
    </w:p>
    <w:p>
      <w:pPr>
        <w:spacing w:after="60" w:before="60"/>
      </w:pPr>
      <w:r>
        <w:rPr>
          <w:rFonts w:ascii="Arial" w:cs="Arial" w:eastAsia="Arial" w:hAnsi="Arial"/>
          <w:sz w:val="21"/>
          <w:szCs w:val="21"/>
        </w:rPr>
        <w:t xml:space="preserve">An AI-powered platform that reads complex tender documents — RFPs, RFQs, IFBs — and turns them into structured intelligence within minutes. Bid teams stop spending days on manual reading and start making decisions the same day.</w:t>
      </w:r>
    </w:p>
    <w:p>
      <w:r>
        <w:rPr>
          <w:rFonts w:ascii="Arial" w:cs="Arial" w:eastAsia="Arial" w:hAnsi="Arial"/>
        </w:rPr>
        <w:t xml:space="preserve"/>
      </w:r>
    </w:p>
    <w:p>
      <w:pPr>
        <w:spacing w:after="60" w:before="60"/>
      </w:pPr>
      <w:r>
        <w:rPr>
          <w:rFonts w:ascii="Arial" w:cs="Arial" w:eastAsia="Arial" w:hAnsi="Arial"/>
          <w:b/>
          <w:bCs/>
          <w:sz w:val="21"/>
          <w:szCs w:val="21"/>
        </w:rPr>
        <w:t xml:space="preserve">The platform covers the full bid lifecycle:</w:t>
      </w:r>
    </w:p>
    <w:p>
      <w:pPr>
        <w:pStyle w:val="ListParagraph"/>
        <w:numPr>
          <w:ilvl w:val="0"/>
          <w:numId w:val="2"/>
        </w:numPr>
        <w:spacing w:after="40" w:before="40"/>
      </w:pPr>
      <w:r>
        <w:rPr>
          <w:rFonts w:ascii="Arial" w:cs="Arial" w:eastAsia="Arial" w:hAnsi="Arial"/>
          <w:sz w:val="21"/>
          <w:szCs w:val="21"/>
        </w:rPr>
        <w:t xml:space="preserve">Upload a tender document and receive a structured briefing immediately</w:t>
      </w:r>
    </w:p>
    <w:p>
      <w:pPr>
        <w:pStyle w:val="ListParagraph"/>
        <w:numPr>
          <w:ilvl w:val="0"/>
          <w:numId w:val="2"/>
        </w:numPr>
        <w:spacing w:after="40" w:before="40"/>
      </w:pPr>
      <w:r>
        <w:rPr>
          <w:rFonts w:ascii="Arial" w:cs="Arial" w:eastAsia="Arial" w:hAnsi="Arial"/>
          <w:sz w:val="21"/>
          <w:szCs w:val="21"/>
        </w:rPr>
        <w:t xml:space="preserve">Determine eligibility before committing team resources</w:t>
      </w:r>
    </w:p>
    <w:p>
      <w:pPr>
        <w:pStyle w:val="ListParagraph"/>
        <w:numPr>
          <w:ilvl w:val="0"/>
          <w:numId w:val="2"/>
        </w:numPr>
        <w:spacing w:after="40" w:before="40"/>
      </w:pPr>
      <w:r>
        <w:rPr>
          <w:rFonts w:ascii="Arial" w:cs="Arial" w:eastAsia="Arial" w:hAnsi="Arial"/>
          <w:sz w:val="21"/>
          <w:szCs w:val="21"/>
        </w:rPr>
        <w:t xml:space="preserve">Understand every risk with recommended mitigations</w:t>
      </w:r>
    </w:p>
    <w:p>
      <w:pPr>
        <w:pStyle w:val="ListParagraph"/>
        <w:numPr>
          <w:ilvl w:val="0"/>
          <w:numId w:val="2"/>
        </w:numPr>
        <w:spacing w:after="40" w:before="40"/>
      </w:pPr>
      <w:r>
        <w:rPr>
          <w:rFonts w:ascii="Arial" w:cs="Arial" w:eastAsia="Arial" w:hAnsi="Arial"/>
          <w:sz w:val="21"/>
          <w:szCs w:val="21"/>
        </w:rPr>
        <w:t xml:space="preserve">Draft a technical proposal backed by your company knowledge base</w:t>
      </w:r>
    </w:p>
    <w:p>
      <w:pPr>
        <w:pStyle w:val="ListParagraph"/>
        <w:numPr>
          <w:ilvl w:val="0"/>
          <w:numId w:val="2"/>
        </w:numPr>
        <w:spacing w:after="40" w:before="40"/>
      </w:pPr>
      <w:r>
        <w:rPr>
          <w:rFonts w:ascii="Arial" w:cs="Arial" w:eastAsia="Arial" w:hAnsi="Arial"/>
          <w:sz w:val="21"/>
          <w:szCs w:val="21"/>
        </w:rPr>
        <w:t xml:space="preserve">Build a commercial proposal — AI writes narratives only, pricing is always rule-based</w:t>
      </w:r>
    </w:p>
    <w:p>
      <w:pPr>
        <w:pStyle w:val="ListParagraph"/>
        <w:numPr>
          <w:ilvl w:val="0"/>
          <w:numId w:val="2"/>
        </w:numPr>
        <w:spacing w:after="40" w:before="40"/>
      </w:pPr>
      <w:r>
        <w:rPr>
          <w:rFonts w:ascii="Arial" w:cs="Arial" w:eastAsia="Arial" w:hAnsi="Arial"/>
          <w:sz w:val="21"/>
          <w:szCs w:val="21"/>
        </w:rPr>
        <w:t xml:space="preserve">Ask plain-English questions and get cited answers from the document</w:t>
      </w:r>
    </w:p>
    <w:p>
      <w:pPr>
        <w:pStyle w:val="ListParagraph"/>
        <w:numPr>
          <w:ilvl w:val="0"/>
          <w:numId w:val="2"/>
        </w:numPr>
        <w:spacing w:after="40" w:before="40"/>
      </w:pPr>
      <w:r>
        <w:rPr>
          <w:rFonts w:ascii="Arial" w:cs="Arial" w:eastAsia="Arial" w:hAnsi="Arial"/>
          <w:sz w:val="21"/>
          <w:szCs w:val="21"/>
        </w:rPr>
        <w:t xml:space="preserve">Export professional PDFs at every stage with a full audit trail</w:t>
      </w:r>
    </w:p>
    <w:p>
      <w:r>
        <w:rPr>
          <w:rFonts w:ascii="Arial" w:cs="Arial" w:eastAsia="Arial" w:hAnsi="Arial"/>
        </w:rPr>
        <w:t xml:space="preserve"/>
      </w:r>
    </w:p>
    <w:p>
      <w:pPr>
        <w:spacing w:after="60" w:before="60"/>
      </w:pPr>
      <w:r>
        <w:rPr>
          <w:rFonts w:ascii="Arial" w:cs="Arial" w:eastAsia="Arial" w:hAnsi="Arial"/>
          <w:sz w:val="21"/>
          <w:szCs w:val="21"/>
        </w:rPr>
        <w:t xml:space="preserve">A working proof-of-concept has been built and demonstrated. This proposal covers the path to a full production platform.</w:t>
      </w:r>
    </w:p>
    <w:p>
      <w:r>
        <w:br w:type="page"/>
      </w:r>
    </w:p>
    <w:p>
      <w:pPr>
        <w:pStyle w:val="Heading1"/>
        <w:spacing w:after="120" w:before="320"/>
      </w:pPr>
      <w:r>
        <w:rPr>
          <w:rFonts w:ascii="Arial" w:cs="Arial" w:eastAsia="Arial" w:hAnsi="Arial"/>
          <w:b/>
          <w:bCs/>
          <w:color w:val="1F3864"/>
          <w:sz w:val="30"/>
          <w:szCs w:val="30"/>
        </w:rPr>
        <w:t xml:space="preserve">2. What Is Already Built</w:t>
      </w:r>
    </w:p>
    <w:p>
      <w:pPr>
        <w:pStyle w:val="Heading2"/>
        <w:spacing w:after="80" w:before="200"/>
      </w:pPr>
      <w:r>
        <w:rPr>
          <w:rFonts w:ascii="Arial" w:cs="Arial" w:eastAsia="Arial" w:hAnsi="Arial"/>
          <w:b/>
          <w:bCs/>
          <w:color w:val="2E5E9E"/>
          <w:sz w:val="24"/>
          <w:szCs w:val="24"/>
        </w:rPr>
        <w:t xml:space="preserve">Document Processing</w:t>
      </w:r>
    </w:p>
    <w:p>
      <w:pPr>
        <w:pStyle w:val="ListParagraph"/>
        <w:numPr>
          <w:ilvl w:val="0"/>
          <w:numId w:val="2"/>
        </w:numPr>
        <w:spacing w:after="40" w:before="40"/>
      </w:pPr>
      <w:r>
        <w:rPr>
          <w:rFonts w:ascii="Arial" w:cs="Arial" w:eastAsia="Arial" w:hAnsi="Arial"/>
          <w:sz w:val="21"/>
          <w:szCs w:val="21"/>
        </w:rPr>
        <w:t xml:space="preserve">Upload PDF and DOCX tender documents with version control and deduplication</w:t>
      </w:r>
    </w:p>
    <w:p>
      <w:pPr>
        <w:pStyle w:val="ListParagraph"/>
        <w:numPr>
          <w:ilvl w:val="0"/>
          <w:numId w:val="2"/>
        </w:numPr>
        <w:spacing w:after="40" w:before="40"/>
      </w:pPr>
      <w:r>
        <w:rPr>
          <w:rFonts w:ascii="Arial" w:cs="Arial" w:eastAsia="Arial" w:hAnsi="Arial"/>
          <w:sz w:val="21"/>
          <w:szCs w:val="21"/>
        </w:rPr>
        <w:t xml:space="preserve">Automatic parsing: page text, sections, and tables extracted</w:t>
      </w:r>
    </w:p>
    <w:p>
      <w:pPr>
        <w:pStyle w:val="ListParagraph"/>
        <w:numPr>
          <w:ilvl w:val="0"/>
          <w:numId w:val="2"/>
        </w:numPr>
        <w:spacing w:after="40" w:before="40"/>
      </w:pPr>
      <w:r>
        <w:rPr>
          <w:rFonts w:ascii="Arial" w:cs="Arial" w:eastAsia="Arial" w:hAnsi="Arial"/>
          <w:sz w:val="21"/>
          <w:szCs w:val="21"/>
        </w:rPr>
        <w:t xml:space="preserve">Tender versioning: original, revisions, and corrigendums tracked with lineage</w:t>
      </w:r>
    </w:p>
    <w:p>
      <w:pPr>
        <w:pStyle w:val="ListParagraph"/>
        <w:numPr>
          <w:ilvl w:val="0"/>
          <w:numId w:val="2"/>
        </w:numPr>
        <w:spacing w:after="40" w:before="40"/>
      </w:pPr>
      <w:r>
        <w:rPr>
          <w:rFonts w:ascii="Arial" w:cs="Arial" w:eastAsia="Arial" w:hAnsi="Arial"/>
          <w:sz w:val="21"/>
          <w:szCs w:val="21"/>
        </w:rPr>
        <w:t xml:space="preserve">OCR support for scanned documents</w:t>
      </w:r>
    </w:p>
    <w:p>
      <w:pPr>
        <w:pStyle w:val="ListParagraph"/>
        <w:numPr>
          <w:ilvl w:val="0"/>
          <w:numId w:val="2"/>
        </w:numPr>
        <w:spacing w:after="40" w:before="40"/>
      </w:pPr>
      <w:r>
        <w:rPr>
          <w:rFonts w:ascii="Arial" w:cs="Arial" w:eastAsia="Arial" w:hAnsi="Arial"/>
          <w:sz w:val="21"/>
          <w:szCs w:val="21"/>
        </w:rPr>
        <w:t xml:space="preserve">Async processing pipeline with stage-by-stage status and audit logs</w:t>
      </w:r>
    </w:p>
    <w:p>
      <w:r>
        <w:rPr>
          <w:rFonts w:ascii="Arial" w:cs="Arial" w:eastAsia="Arial" w:hAnsi="Arial"/>
        </w:rPr>
        <w:t xml:space="preserve"/>
      </w:r>
    </w:p>
    <w:p>
      <w:pPr>
        <w:pStyle w:val="Heading2"/>
        <w:spacing w:after="80" w:before="200"/>
      </w:pPr>
      <w:r>
        <w:rPr>
          <w:rFonts w:ascii="Arial" w:cs="Arial" w:eastAsia="Arial" w:hAnsi="Arial"/>
          <w:b/>
          <w:bCs/>
          <w:color w:val="2E5E9E"/>
          <w:sz w:val="24"/>
          <w:szCs w:val="24"/>
        </w:rPr>
        <w:t xml:space="preserve">Procurement Intelligence</w:t>
      </w:r>
    </w:p>
    <w:p>
      <w:pPr>
        <w:pStyle w:val="ListParagraph"/>
        <w:numPr>
          <w:ilvl w:val="0"/>
          <w:numId w:val="2"/>
        </w:numPr>
        <w:spacing w:after="40" w:before="40"/>
      </w:pPr>
      <w:r>
        <w:rPr>
          <w:rFonts w:ascii="Arial" w:cs="Arial" w:eastAsia="Arial" w:hAnsi="Arial"/>
          <w:sz w:val="21"/>
          <w:szCs w:val="21"/>
        </w:rPr>
        <w:t xml:space="preserve">Structured extraction across 9 categories: eligibility, deadlines, technical requirements, scope, payment terms, penalties and bonds, mandatory documents, evaluation criteria</w:t>
      </w:r>
    </w:p>
    <w:p>
      <w:pPr>
        <w:pStyle w:val="ListParagraph"/>
        <w:numPr>
          <w:ilvl w:val="0"/>
          <w:numId w:val="2"/>
        </w:numPr>
        <w:spacing w:after="40" w:before="40"/>
      </w:pPr>
      <w:r>
        <w:rPr>
          <w:rFonts w:ascii="Arial" w:cs="Arial" w:eastAsia="Arial" w:hAnsi="Arial"/>
          <w:sz w:val="21"/>
          <w:szCs w:val="21"/>
        </w:rPr>
        <w:t xml:space="preserve">7-section executive briefing with page and section citations on every item</w:t>
      </w:r>
    </w:p>
    <w:p>
      <w:pPr>
        <w:pStyle w:val="ListParagraph"/>
        <w:numPr>
          <w:ilvl w:val="0"/>
          <w:numId w:val="2"/>
        </w:numPr>
        <w:spacing w:after="40" w:before="40"/>
      </w:pPr>
      <w:r>
        <w:rPr>
          <w:rFonts w:ascii="Arial" w:cs="Arial" w:eastAsia="Arial" w:hAnsi="Arial"/>
          <w:sz w:val="21"/>
          <w:szCs w:val="21"/>
        </w:rPr>
        <w:t xml:space="preserve">Every extracted claim is traceable to its exact source in the document</w:t>
      </w:r>
    </w:p>
    <w:p>
      <w:pPr>
        <w:pStyle w:val="ListParagraph"/>
        <w:numPr>
          <w:ilvl w:val="0"/>
          <w:numId w:val="2"/>
        </w:numPr>
        <w:spacing w:after="40" w:before="40"/>
      </w:pPr>
      <w:r>
        <w:rPr>
          <w:rFonts w:ascii="Arial" w:cs="Arial" w:eastAsia="Arial" w:hAnsi="Arial"/>
          <w:sz w:val="21"/>
          <w:szCs w:val="21"/>
        </w:rPr>
        <w:t xml:space="preserve">Re-run extraction after document updates</w:t>
      </w:r>
    </w:p>
    <w:p>
      <w:pPr>
        <w:pStyle w:val="ListParagraph"/>
        <w:numPr>
          <w:ilvl w:val="0"/>
          <w:numId w:val="2"/>
        </w:numPr>
        <w:spacing w:after="40" w:before="40"/>
      </w:pPr>
      <w:r>
        <w:rPr>
          <w:rFonts w:ascii="Arial" w:cs="Arial" w:eastAsia="Arial" w:hAnsi="Arial"/>
          <w:sz w:val="21"/>
          <w:szCs w:val="21"/>
        </w:rPr>
        <w:t xml:space="preserve">Full and executive PDF briefing export</w:t>
      </w:r>
    </w:p>
    <w:p>
      <w:r>
        <w:rPr>
          <w:rFonts w:ascii="Arial" w:cs="Arial" w:eastAsia="Arial" w:hAnsi="Arial"/>
        </w:rPr>
        <w:t xml:space="preserve"/>
      </w:r>
    </w:p>
    <w:p>
      <w:pPr>
        <w:pStyle w:val="Heading2"/>
        <w:spacing w:after="80" w:before="200"/>
      </w:pPr>
      <w:r>
        <w:rPr>
          <w:rFonts w:ascii="Arial" w:cs="Arial" w:eastAsia="Arial" w:hAnsi="Arial"/>
          <w:b/>
          <w:bCs/>
          <w:color w:val="2E5E9E"/>
          <w:sz w:val="24"/>
          <w:szCs w:val="24"/>
        </w:rPr>
        <w:t xml:space="preserve">Document Chat</w:t>
      </w:r>
    </w:p>
    <w:p>
      <w:pPr>
        <w:pStyle w:val="ListParagraph"/>
        <w:numPr>
          <w:ilvl w:val="0"/>
          <w:numId w:val="2"/>
        </w:numPr>
        <w:spacing w:after="40" w:before="40"/>
      </w:pPr>
      <w:r>
        <w:rPr>
          <w:rFonts w:ascii="Arial" w:cs="Arial" w:eastAsia="Arial" w:hAnsi="Arial"/>
          <w:sz w:val="21"/>
          <w:szCs w:val="21"/>
        </w:rPr>
        <w:t xml:space="preserve">Ask plain-English questions about any tender document</w:t>
      </w:r>
    </w:p>
    <w:p>
      <w:pPr>
        <w:pStyle w:val="ListParagraph"/>
        <w:numPr>
          <w:ilvl w:val="0"/>
          <w:numId w:val="2"/>
        </w:numPr>
        <w:spacing w:after="40" w:before="40"/>
      </w:pPr>
      <w:r>
        <w:rPr>
          <w:rFonts w:ascii="Arial" w:cs="Arial" w:eastAsia="Arial" w:hAnsi="Arial"/>
          <w:sz w:val="21"/>
          <w:szCs w:val="21"/>
        </w:rPr>
        <w:t xml:space="preserve">Answers are grounded in document text — no fabrication</w:t>
      </w:r>
    </w:p>
    <w:p>
      <w:pPr>
        <w:pStyle w:val="ListParagraph"/>
        <w:numPr>
          <w:ilvl w:val="0"/>
          <w:numId w:val="2"/>
        </w:numPr>
        <w:spacing w:after="40" w:before="40"/>
      </w:pPr>
      <w:r>
        <w:rPr>
          <w:rFonts w:ascii="Arial" w:cs="Arial" w:eastAsia="Arial" w:hAnsi="Arial"/>
          <w:sz w:val="21"/>
          <w:szCs w:val="21"/>
        </w:rPr>
        <w:t xml:space="preserve">Explicit 'not found' when information is not in the document</w:t>
      </w:r>
    </w:p>
    <w:p>
      <w:pPr>
        <w:pStyle w:val="ListParagraph"/>
        <w:numPr>
          <w:ilvl w:val="0"/>
          <w:numId w:val="2"/>
        </w:numPr>
        <w:spacing w:after="40" w:before="40"/>
      </w:pPr>
      <w:r>
        <w:rPr>
          <w:rFonts w:ascii="Arial" w:cs="Arial" w:eastAsia="Arial" w:hAnsi="Arial"/>
          <w:sz w:val="21"/>
          <w:szCs w:val="21"/>
        </w:rPr>
        <w:t xml:space="preserve">Multi-turn conversation with full citation display</w:t>
      </w:r>
    </w:p>
    <w:p>
      <w:r>
        <w:rPr>
          <w:rFonts w:ascii="Arial" w:cs="Arial" w:eastAsia="Arial" w:hAnsi="Arial"/>
        </w:rPr>
        <w:t xml:space="preserve"/>
      </w:r>
    </w:p>
    <w:p>
      <w:pPr>
        <w:pStyle w:val="Heading2"/>
        <w:spacing w:after="80" w:before="200"/>
      </w:pPr>
      <w:r>
        <w:rPr>
          <w:rFonts w:ascii="Arial" w:cs="Arial" w:eastAsia="Arial" w:hAnsi="Arial"/>
          <w:b/>
          <w:bCs/>
          <w:color w:val="2E5E9E"/>
          <w:sz w:val="24"/>
          <w:szCs w:val="24"/>
        </w:rPr>
        <w:t xml:space="preserve">Proposal Generation</w:t>
      </w:r>
    </w:p>
    <w:p>
      <w:pPr>
        <w:pStyle w:val="ListParagraph"/>
        <w:numPr>
          <w:ilvl w:val="0"/>
          <w:numId w:val="2"/>
        </w:numPr>
        <w:spacing w:after="40" w:before="40"/>
      </w:pPr>
      <w:r>
        <w:rPr>
          <w:rFonts w:ascii="Arial" w:cs="Arial" w:eastAsia="Arial" w:hAnsi="Arial"/>
          <w:sz w:val="21"/>
          <w:szCs w:val="21"/>
        </w:rPr>
        <w:t xml:space="preserve">Technical proposal draft with compliance matrix, capability matching, and gap detection</w:t>
      </w:r>
    </w:p>
    <w:p>
      <w:pPr>
        <w:pStyle w:val="ListParagraph"/>
        <w:numPr>
          <w:ilvl w:val="0"/>
          <w:numId w:val="2"/>
        </w:numPr>
        <w:spacing w:after="40" w:before="40"/>
      </w:pPr>
      <w:r>
        <w:rPr>
          <w:rFonts w:ascii="Arial" w:cs="Arial" w:eastAsia="Arial" w:hAnsi="Arial"/>
          <w:sz w:val="21"/>
          <w:szCs w:val="21"/>
        </w:rPr>
        <w:t xml:space="preserve">Commercial proposal engine: AI writes narratives only — totals are always computed by rules, never by AI</w:t>
      </w:r>
    </w:p>
    <w:p>
      <w:pPr>
        <w:pStyle w:val="ListParagraph"/>
        <w:numPr>
          <w:ilvl w:val="0"/>
          <w:numId w:val="2"/>
        </w:numPr>
        <w:spacing w:after="40" w:before="40"/>
      </w:pPr>
      <w:r>
        <w:rPr>
          <w:rFonts w:ascii="Arial" w:cs="Arial" w:eastAsia="Arial" w:hAnsi="Arial"/>
          <w:sz w:val="21"/>
          <w:szCs w:val="21"/>
        </w:rPr>
        <w:t xml:space="preserve">Interactive pricing workbench with editable tables, assumptions, and exclusions</w:t>
      </w:r>
    </w:p>
    <w:p>
      <w:pPr>
        <w:pStyle w:val="ListParagraph"/>
        <w:numPr>
          <w:ilvl w:val="0"/>
          <w:numId w:val="2"/>
        </w:numPr>
        <w:spacing w:after="40" w:before="40"/>
      </w:pPr>
      <w:r>
        <w:rPr>
          <w:rFonts w:ascii="Arial" w:cs="Arial" w:eastAsia="Arial" w:hAnsi="Arial"/>
          <w:sz w:val="21"/>
          <w:szCs w:val="21"/>
        </w:rPr>
        <w:t xml:space="preserve">Bidder/vendor profile for credentials, team, and rate cards</w:t>
      </w:r>
    </w:p>
    <w:p>
      <w:pPr>
        <w:pStyle w:val="ListParagraph"/>
        <w:numPr>
          <w:ilvl w:val="0"/>
          <w:numId w:val="2"/>
        </w:numPr>
        <w:spacing w:after="40" w:before="40"/>
      </w:pPr>
      <w:r>
        <w:rPr>
          <w:rFonts w:ascii="Arial" w:cs="Arial" w:eastAsia="Arial" w:hAnsi="Arial"/>
          <w:sz w:val="21"/>
          <w:szCs w:val="21"/>
        </w:rPr>
        <w:t xml:space="preserve">All outputs watermarked as drafts until approved by a human reviewer</w:t>
      </w:r>
    </w:p>
    <w:p>
      <w:r>
        <w:br w:type="page"/>
      </w:r>
    </w:p>
    <w:p>
      <w:pPr>
        <w:pStyle w:val="Heading1"/>
        <w:spacing w:after="120" w:before="320"/>
      </w:pPr>
      <w:r>
        <w:rPr>
          <w:rFonts w:ascii="Arial" w:cs="Arial" w:eastAsia="Arial" w:hAnsi="Arial"/>
          <w:b/>
          <w:bCs/>
          <w:color w:val="1F3864"/>
          <w:sz w:val="30"/>
          <w:szCs w:val="30"/>
        </w:rPr>
        <w:t xml:space="preserve">3. Core Rollout — Phases A to E</w:t>
      </w:r>
    </w:p>
    <w:p>
      <w:pPr>
        <w:spacing w:after="60" w:before="60"/>
      </w:pPr>
      <w:r>
        <w:rPr>
          <w:rFonts w:ascii="Arial" w:cs="Arial" w:eastAsia="Arial" w:hAnsi="Arial"/>
          <w:sz w:val="21"/>
          <w:szCs w:val="21"/>
        </w:rPr>
        <w:t xml:space="preserve">Five phases take the platform from proof-of-concept to a production enterprise system.</w:t>
      </w:r>
    </w:p>
    <w:p>
      <w:r>
        <w:rPr>
          <w:rFonts w:ascii="Arial" w:cs="Arial" w:eastAsia="Arial" w:hAnsi="Arial"/>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Phase</w:t>
            </w:r>
          </w:p>
        </w:tc>
        <w:tc>
          <w:tcPr>
            <w:tcW w:type="dxa" w:w="676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What You Get</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Phase A — Production Hardening</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Single sign-on (SSO / Azure AD), role-based permissions, production cloud deployment, monitoring and alerting.</w:t>
            </w:r>
          </w:p>
        </w:tc>
      </w:tr>
      <w:tr>
        <w:tc>
          <w:tcPr>
            <w:tcW w:type="dxa" w:w="2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Phase B — Company Knowledge Base</w:t>
            </w:r>
          </w:p>
        </w:tc>
        <w:tc>
          <w:tcPr>
            <w:tcW w:type="dxa" w:w="67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Central repository for certifications, case studies, rate cards, methodologies, CVs, and HSE statements. Proposals draw on company evidence automatically. Expiry tracking per document with alerts before certifications lapse.</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Phase C — Eligibility &amp; Expiry</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Automated eligibility assessment against tender requirements. Gap checklist with severity levels (blocker / warning / info). Alerts for expired or expiring certifications. Eligibility report exportable for bid committee.</w:t>
            </w:r>
          </w:p>
        </w:tc>
      </w:tr>
      <w:tr>
        <w:tc>
          <w:tcPr>
            <w:tcW w:type="dxa" w:w="2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Phase D — Risk Intelligence</w:t>
            </w:r>
          </w:p>
        </w:tc>
        <w:tc>
          <w:tcPr>
            <w:tcW w:type="dxa" w:w="67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Structured risk register covering legal, financial, operational, and compliance risks. Each risk linked to the RFP clause. Mitigation recommendations. Risk heat map. Bid/no-bid risk summary for executives.</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Phase E — Contextual Learning</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Feedback capture per extracted field and proposal section. Prompt version tracking with changelog. Admin dashboard to monitor feedback and trigger improvements. The system improves over time without retraining the AI model.</w:t>
            </w:r>
          </w:p>
        </w:tc>
      </w:tr>
    </w:tbl>
    <w:p>
      <w:r>
        <w:br w:type="page"/>
      </w:r>
    </w:p>
    <w:p>
      <w:pPr>
        <w:pStyle w:val="Heading1"/>
        <w:spacing w:after="120" w:before="320"/>
      </w:pPr>
      <w:r>
        <w:rPr>
          <w:rFonts w:ascii="Arial" w:cs="Arial" w:eastAsia="Arial" w:hAnsi="Arial"/>
          <w:b/>
          <w:bCs/>
          <w:color w:val="1F3864"/>
          <w:sz w:val="30"/>
          <w:szCs w:val="30"/>
        </w:rPr>
        <w:t xml:space="preserve">4. How the Platform Gets Smarter Over Time</w:t>
      </w:r>
    </w:p>
    <w:p>
      <w:pPr>
        <w:spacing w:after="60" w:before="60"/>
      </w:pPr>
      <w:r>
        <w:rPr>
          <w:rFonts w:ascii="Arial" w:cs="Arial" w:eastAsia="Arial" w:hAnsi="Arial"/>
          <w:sz w:val="21"/>
          <w:szCs w:val="21"/>
        </w:rPr>
        <w:t xml:space="preserve">The platform improves continuously without retraining the AI model, without GPU clusters, and without data labeling teams.</w:t>
      </w:r>
    </w:p>
    <w:p>
      <w:r>
        <w:rPr>
          <w:rFonts w:ascii="Arial" w:cs="Arial" w:eastAsia="Arial" w:hAnsi="Arial"/>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2160"/>
      </w:tblGrid>
      <w:tr>
        <w:trPr>
          <w:tblHeader/>
        </w:trPr>
        <w:tc>
          <w:tcPr>
            <w:tcW w:type="dxa" w:w="260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How It Learns</w:t>
            </w:r>
          </w:p>
        </w:tc>
        <w:tc>
          <w:tcPr>
            <w:tcW w:type="dxa" w:w="480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What Happens</w:t>
            </w:r>
          </w:p>
        </w:tc>
        <w:tc>
          <w:tcPr>
            <w:tcW w:type="dxa" w:w="216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Time to Effect</w:t>
            </w:r>
          </w:p>
        </w:tc>
      </w:tr>
      <w:tr>
        <w:tc>
          <w:tcPr>
            <w:tcW w:type="dxa" w:w="26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Knowledge updates</w:t>
            </w:r>
          </w:p>
        </w:tc>
        <w:tc>
          <w:tcPr>
            <w:tcW w:type="dxa" w:w="4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Add certifications, case studies, or rate cards to the Knowledge Base — used in the very next proposal.</w:t>
            </w:r>
          </w:p>
        </w:tc>
        <w:tc>
          <w:tcPr>
            <w:tcW w:type="dxa" w:w="21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Immediate</w:t>
            </w:r>
          </w:p>
        </w:tc>
      </w:tr>
      <w:tr>
        <w:tc>
          <w:tcPr>
            <w:tcW w:type="dxa" w:w="26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Prompt updates</w:t>
            </w:r>
          </w:p>
        </w:tc>
        <w:tc>
          <w:tcPr>
            <w:tcW w:type="dxa" w:w="4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When the system extracts a wrong field, we update extraction instructions. Fixed for all future documents.</w:t>
            </w:r>
          </w:p>
        </w:tc>
        <w:tc>
          <w:tcPr>
            <w:tcW w:type="dxa" w:w="21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Hours</w:t>
            </w:r>
          </w:p>
        </w:tc>
      </w:tr>
      <w:tr>
        <w:tc>
          <w:tcPr>
            <w:tcW w:type="dxa" w:w="26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Rule updates</w:t>
            </w:r>
          </w:p>
        </w:tc>
        <w:tc>
          <w:tcPr>
            <w:tcW w:type="dxa" w:w="4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Eligibility thresholds, validators, and pricing rules are configuration — changed without code deployment.</w:t>
            </w:r>
          </w:p>
        </w:tc>
        <w:tc>
          <w:tcPr>
            <w:tcW w:type="dxa" w:w="21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Hours</w:t>
            </w:r>
          </w:p>
        </w:tc>
      </w:tr>
      <w:tr>
        <w:tc>
          <w:tcPr>
            <w:tcW w:type="dxa" w:w="26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Feedback loop</w:t>
            </w:r>
          </w:p>
        </w:tc>
        <w:tc>
          <w:tcPr>
            <w:tcW w:type="dxa" w:w="4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User marks a field as incorrect and provides the right value. Stored and informs the next prompt improvement cycle.</w:t>
            </w:r>
          </w:p>
        </w:tc>
        <w:tc>
          <w:tcPr>
            <w:tcW w:type="dxa" w:w="21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Next review cycle</w:t>
            </w:r>
          </w:p>
        </w:tc>
      </w:tr>
    </w:tbl>
    <w:p>
      <w:r>
        <w:rPr>
          <w:rFonts w:ascii="Arial" w:cs="Arial" w:eastAsia="Arial" w:hAnsi="Arial"/>
        </w:rPr>
        <w:t xml:space="preserve"/>
      </w:r>
    </w:p>
    <w:p>
      <w:pPr>
        <w:spacing w:after="60" w:before="60"/>
      </w:pPr>
      <w:r>
        <w:rPr>
          <w:rFonts w:ascii="Arial" w:cs="Arial" w:eastAsia="Arial" w:hAnsi="Arial"/>
          <w:sz w:val="21"/>
          <w:szCs w:val="21"/>
        </w:rPr>
        <w:t xml:space="preserve">Every output records which knowledge version and which prompt version produced it — full audit trail, no black box.</w:t>
      </w:r>
    </w:p>
    <w:p>
      <w:r>
        <w:br w:type="page"/>
      </w:r>
    </w:p>
    <w:p>
      <w:pPr>
        <w:pStyle w:val="Heading1"/>
        <w:spacing w:after="120" w:before="320"/>
      </w:pPr>
      <w:r>
        <w:rPr>
          <w:rFonts w:ascii="Arial" w:cs="Arial" w:eastAsia="Arial" w:hAnsi="Arial"/>
          <w:b/>
          <w:bCs/>
          <w:color w:val="1F3864"/>
          <w:sz w:val="30"/>
          <w:szCs w:val="30"/>
        </w:rPr>
        <w:t xml:space="preserve">5. Future Roadmap</w:t>
      </w:r>
    </w:p>
    <w:p>
      <w:pPr>
        <w:spacing w:after="60" w:before="60"/>
      </w:pPr>
      <w:r>
        <w:rPr>
          <w:rFonts w:ascii="Arial" w:cs="Arial" w:eastAsia="Arial" w:hAnsi="Arial"/>
          <w:sz w:val="21"/>
          <w:szCs w:val="21"/>
        </w:rPr>
        <w:t xml:space="preserve">After the core rollout, the following enhancements are available in priority order.</w:t>
      </w:r>
    </w:p>
    <w:p>
      <w:r>
        <w:rPr>
          <w:rFonts w:ascii="Arial" w:cs="Arial" w:eastAsia="Arial" w:hAnsi="Arial"/>
        </w:rPr>
        <w:t xml:space="preserve"/>
      </w:r>
    </w:p>
    <w:p>
      <w:pPr>
        <w:pStyle w:val="Heading2"/>
        <w:spacing w:after="80" w:before="200"/>
      </w:pPr>
      <w:r>
        <w:rPr>
          <w:rFonts w:ascii="Arial" w:cs="Arial" w:eastAsia="Arial" w:hAnsi="Arial"/>
          <w:b/>
          <w:bCs/>
          <w:color w:val="2E5E9E"/>
          <w:sz w:val="24"/>
          <w:szCs w:val="24"/>
        </w:rPr>
        <w:t xml:space="preserve">Tier 1 — Highest Impact</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Enhancement</w:t>
            </w:r>
          </w:p>
        </w:tc>
        <w:tc>
          <w:tcPr>
            <w:tcW w:type="dxa" w:w="676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What It Does</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Corrigendum Diff</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Side-by-side comparison of tender versions. Highlights changed requirements, deadlines, and scope. Prevents submitting a stale proposal after an amendment.</w:t>
            </w:r>
          </w:p>
        </w:tc>
      </w:tr>
      <w:tr>
        <w:tc>
          <w:tcPr>
            <w:tcW w:type="dxa" w:w="2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Bid / No-Bid Scorecard</w:t>
            </w:r>
          </w:p>
        </w:tc>
        <w:tc>
          <w:tcPr>
            <w:tcW w:type="dxa" w:w="67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Single scored view of eligibility, risk, deadline pressure, and strategic fit. One-click go/no-go meeting pack PDF for the bid committee.</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Proposal Quality Tools</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Compliance matrix pre-filled with one row per requirement. Echo detection flags responses that just repeat the RFP. Per-section regenerate without rerunning the full proposal.</w:t>
            </w:r>
          </w:p>
        </w:tc>
      </w:tr>
    </w:tbl>
    <w:p>
      <w:r>
        <w:rPr>
          <w:rFonts w:ascii="Arial" w:cs="Arial" w:eastAsia="Arial" w:hAnsi="Arial"/>
        </w:rPr>
        <w:t xml:space="preserve"/>
      </w:r>
    </w:p>
    <w:p>
      <w:pPr>
        <w:pStyle w:val="Heading2"/>
        <w:spacing w:after="80" w:before="200"/>
      </w:pPr>
      <w:r>
        <w:rPr>
          <w:rFonts w:ascii="Arial" w:cs="Arial" w:eastAsia="Arial" w:hAnsi="Arial"/>
          <w:b/>
          <w:bCs/>
          <w:color w:val="2E5E9E"/>
          <w:sz w:val="24"/>
          <w:szCs w:val="24"/>
        </w:rPr>
        <w:t xml:space="preserve">Tier 2 — Daily Adoption</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Enhancement</w:t>
            </w:r>
          </w:p>
        </w:tc>
        <w:tc>
          <w:tcPr>
            <w:tcW w:type="dxa" w:w="676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What It Does</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Multi-User Collaboration</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Assign gap checklist items to team members. Section ownership on proposals. Comment threads on requirements. Approval gates before export.</w:t>
            </w:r>
          </w:p>
        </w:tc>
      </w:tr>
      <w:tr>
        <w:tc>
          <w:tcPr>
            <w:tcW w:type="dxa" w:w="2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Advanced Commercial</w:t>
            </w:r>
          </w:p>
        </w:tc>
        <w:tc>
          <w:tcPr>
            <w:tcW w:type="dxa" w:w="67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Scenario modeling (base / optimistic / conservative). Bill-of-quantities import from RFP tables. Technical–commercial consistency check.</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Smarter Chat</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Compare-to-Knowledge-Base mode. Saved question playbooks per industry. Insert cited chat answers directly into proposal sections.</w:t>
            </w:r>
          </w:p>
        </w:tc>
      </w:tr>
    </w:tbl>
    <w:p>
      <w:r>
        <w:rPr>
          <w:rFonts w:ascii="Arial" w:cs="Arial" w:eastAsia="Arial" w:hAnsi="Arial"/>
        </w:rPr>
        <w:t xml:space="preserve"/>
      </w:r>
    </w:p>
    <w:p>
      <w:pPr>
        <w:pStyle w:val="Heading2"/>
        <w:spacing w:after="80" w:before="200"/>
      </w:pPr>
      <w:r>
        <w:rPr>
          <w:rFonts w:ascii="Arial" w:cs="Arial" w:eastAsia="Arial" w:hAnsi="Arial"/>
          <w:b/>
          <w:bCs/>
          <w:color w:val="2E5E9E"/>
          <w:sz w:val="24"/>
          <w:szCs w:val="24"/>
        </w:rPr>
        <w:t xml:space="preserve">Tier 3 — Enterprise Scale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Enhancement</w:t>
            </w:r>
          </w:p>
        </w:tc>
        <w:tc>
          <w:tcPr>
            <w:tcW w:type="dxa" w:w="676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What It Does</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Integrations</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SharePoint / Google Drive sync for KB. Outlook / Google Calendar deadline sync. Microsoft Teams notifications. Power BI portfolio dashboards.</w:t>
            </w:r>
          </w:p>
        </w:tc>
      </w:tr>
      <w:tr>
        <w:tc>
          <w:tcPr>
            <w:tcW w:type="dxa" w:w="2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Win / Loss Analytics</w:t>
            </w:r>
          </w:p>
        </w:tc>
        <w:tc>
          <w:tcPr>
            <w:tcW w:type="dxa" w:w="67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Link tender outcomes to eligibility scores and effort. Surface similar past tenders when a new one arrives.</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Optional Modules</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Multi-language support. On-premise / private cloud deployment. E-tender portal auto-ingestion. Subcontractor consortium portal.</w:t>
            </w:r>
          </w:p>
        </w:tc>
      </w:tr>
    </w:tbl>
    <w:p>
      <w:r>
        <w:br w:type="page"/>
      </w:r>
    </w:p>
    <w:p>
      <w:pPr>
        <w:pStyle w:val="Heading1"/>
        <w:spacing w:after="120" w:before="320"/>
      </w:pPr>
      <w:r>
        <w:rPr>
          <w:rFonts w:ascii="Arial" w:cs="Arial" w:eastAsia="Arial" w:hAnsi="Arial"/>
          <w:b/>
          <w:bCs/>
          <w:color w:val="1F3864"/>
          <w:sz w:val="30"/>
          <w:szCs w:val="30"/>
        </w:rPr>
        <w:t xml:space="preserve">6. User Roles</w:t>
      </w:r>
    </w:p>
    <w:p>
      <w:pPr>
        <w:spacing w:after="60" w:before="60"/>
      </w:pPr>
      <w:r>
        <w:rPr>
          <w:rFonts w:ascii="Arial" w:cs="Arial" w:eastAsia="Arial" w:hAnsi="Arial"/>
          <w:sz w:val="21"/>
          <w:szCs w:val="21"/>
        </w:rPr>
        <w:t xml:space="preserve">Access is controlled by role. Each role sees only what it needs.</w:t>
      </w:r>
    </w:p>
    <w:p>
      <w:r>
        <w:rPr>
          <w:rFonts w:ascii="Arial" w:cs="Arial" w:eastAsia="Arial" w:hAnsi="Arial"/>
        </w:rPr>
        <w:t xml:space="preserve"/>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Role</w:t>
            </w:r>
          </w:p>
        </w:tc>
        <w:tc>
          <w:tcPr>
            <w:tcW w:type="dxa" w:w="676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What They Can Do</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Administrator</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Manage users, knowledge base, system settings, and prompt configuration.</w:t>
            </w:r>
          </w:p>
        </w:tc>
      </w:tr>
      <w:tr>
        <w:tc>
          <w:tcPr>
            <w:tcW w:type="dxa" w:w="2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Bid Manager</w:t>
            </w:r>
          </w:p>
        </w:tc>
        <w:tc>
          <w:tcPr>
            <w:tcW w:type="dxa" w:w="67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Upload tenders, run intelligence, review eligibility, approve proposals for export.</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Proposal Writer</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Edit proposals, complete gap checklist items, export drafts.</w:t>
            </w:r>
          </w:p>
        </w:tc>
      </w:tr>
      <w:tr>
        <w:tc>
          <w:tcPr>
            <w:tcW w:type="dxa" w:w="2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Reviewer</w:t>
            </w:r>
          </w:p>
        </w:tc>
        <w:tc>
          <w:tcPr>
            <w:tcW w:type="dxa" w:w="67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Read, comment, and approve — no deletions or edits to finalized content.</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Executive</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View dashboards, eligibility summaries, and risk summaries — read only.</w:t>
            </w:r>
          </w:p>
        </w:tc>
      </w:tr>
      <w:tr>
        <w:tc>
          <w:tcPr>
            <w:tcW w:type="dxa" w:w="2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KB Curator</w:t>
            </w:r>
          </w:p>
        </w:tc>
        <w:tc>
          <w:tcPr>
            <w:tcW w:type="dxa" w:w="67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Upload and approve knowledge base documents.</w:t>
            </w:r>
          </w:p>
        </w:tc>
      </w:tr>
    </w:tbl>
    <w:p>
      <w:r>
        <w:br w:type="page"/>
      </w:r>
    </w:p>
    <w:p>
      <w:pPr>
        <w:pStyle w:val="Heading1"/>
        <w:spacing w:after="120" w:before="320"/>
      </w:pPr>
      <w:r>
        <w:rPr>
          <w:rFonts w:ascii="Arial" w:cs="Arial" w:eastAsia="Arial" w:hAnsi="Arial"/>
          <w:b/>
          <w:bCs/>
          <w:color w:val="1F3864"/>
          <w:sz w:val="30"/>
          <w:szCs w:val="30"/>
        </w:rPr>
        <w:t xml:space="preserve">7. AI Usage Cost</w:t>
      </w:r>
    </w:p>
    <w:p>
      <w:pPr>
        <w:spacing w:after="60" w:before="60"/>
      </w:pPr>
      <w:r>
        <w:rPr>
          <w:rFonts w:ascii="Arial" w:cs="Arial" w:eastAsia="Arial" w:hAnsi="Arial"/>
          <w:sz w:val="21"/>
          <w:szCs w:val="21"/>
        </w:rPr>
        <w:t xml:space="preserve">The only direct operational cost associated with running the platform is the OpenAI API usage. There are no per-seat AI licensing fees — cost scales with how many tenders you process.</w:t>
      </w:r>
    </w:p>
    <w:p>
      <w:r>
        <w:rPr>
          <w:rFonts w:ascii="Arial" w:cs="Arial" w:eastAsia="Arial" w:hAnsi="Arial"/>
        </w:rPr>
        <w:t xml:space="preserve"/>
      </w:r>
    </w:p>
    <w:p>
      <w:pPr>
        <w:pStyle w:val="Heading2"/>
        <w:spacing w:after="80" w:before="200"/>
      </w:pPr>
      <w:r>
        <w:rPr>
          <w:rFonts w:ascii="Arial" w:cs="Arial" w:eastAsia="Arial" w:hAnsi="Arial"/>
          <w:b/>
          <w:bCs/>
          <w:color w:val="2E5E9E"/>
          <w:sz w:val="24"/>
          <w:szCs w:val="24"/>
        </w:rPr>
        <w:t xml:space="preserve">Cost per Tender Processed</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3200"/>
        <w:gridCol w:w="4000"/>
        <w:gridCol w:w="2360"/>
      </w:tblGrid>
      <w:tr>
        <w:trPr>
          <w:tblHeader/>
        </w:trPr>
        <w:tc>
          <w:tcPr>
            <w:tcW w:type="dxa" w:w="320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Activity</w:t>
            </w:r>
          </w:p>
        </w:tc>
        <w:tc>
          <w:tcPr>
            <w:tcW w:type="dxa" w:w="400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What It Covers</w:t>
            </w:r>
          </w:p>
        </w:tc>
        <w:tc>
          <w:tcPr>
            <w:tcW w:type="dxa" w:w="236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Estimated Cost (USD)</w:t>
            </w:r>
          </w:p>
        </w:tc>
      </w:tr>
      <w:tr>
        <w:tc>
          <w:tcPr>
            <w:tcW w:type="dxa" w:w="32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Procurement briefing + extractions</w:t>
            </w:r>
          </w:p>
        </w:tc>
        <w:tc>
          <w:tcPr>
            <w:tcW w:type="dxa" w:w="40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9-category extraction, executive briefing, embeddings</w:t>
            </w:r>
          </w:p>
        </w:tc>
        <w:tc>
          <w:tcPr>
            <w:tcW w:type="dxa" w:w="23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$2.50 – $8.00</w:t>
            </w:r>
          </w:p>
        </w:tc>
      </w:tr>
      <w:tr>
        <w:tc>
          <w:tcPr>
            <w:tcW w:type="dxa" w:w="32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Document chat (approx. 20 questions)</w:t>
            </w:r>
          </w:p>
        </w:tc>
        <w:tc>
          <w:tcPr>
            <w:tcW w:type="dxa" w:w="40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RAG-based Q&amp;A over the tender document</w:t>
            </w:r>
          </w:p>
        </w:tc>
        <w:tc>
          <w:tcPr>
            <w:tcW w:type="dxa" w:w="23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$0.50 – $2.00</w:t>
            </w:r>
          </w:p>
        </w:tc>
      </w:tr>
      <w:tr>
        <w:tc>
          <w:tcPr>
            <w:tcW w:type="dxa" w:w="32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Technical proposal generation</w:t>
            </w:r>
          </w:p>
        </w:tc>
        <w:tc>
          <w:tcPr>
            <w:tcW w:type="dxa" w:w="40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Compliance matrix, gap detection, narrative drafting</w:t>
            </w:r>
          </w:p>
        </w:tc>
        <w:tc>
          <w:tcPr>
            <w:tcW w:type="dxa" w:w="23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$1.50 – $6.00</w:t>
            </w:r>
          </w:p>
        </w:tc>
      </w:tr>
      <w:tr>
        <w:tc>
          <w:tcPr>
            <w:tcW w:type="dxa" w:w="32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Commercial proposal narratives</w:t>
            </w:r>
          </w:p>
        </w:tc>
        <w:tc>
          <w:tcPr>
            <w:tcW w:type="dxa" w:w="40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Executive summaries, narrative sections (pricing is rule-based)</w:t>
            </w:r>
          </w:p>
        </w:tc>
        <w:tc>
          <w:tcPr>
            <w:tcW w:type="dxa" w:w="23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$0.80 – $2.50</w:t>
            </w:r>
          </w:p>
        </w:tc>
      </w:tr>
      <w:tr>
        <w:tc>
          <w:tcPr>
            <w:tcW w:type="dxa" w:w="32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Eligibility + risk assessment</w:t>
            </w:r>
          </w:p>
        </w:tc>
        <w:tc>
          <w:tcPr>
            <w:tcW w:type="dxa" w:w="40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Eligibility verdict, risk register, mitigation generation</w:t>
            </w:r>
          </w:p>
        </w:tc>
        <w:tc>
          <w:tcPr>
            <w:tcW w:type="dxa" w:w="23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$1.00 – $3.00</w:t>
            </w:r>
          </w:p>
        </w:tc>
      </w:tr>
    </w:tbl>
    <w:p>
      <w:r>
        <w:rPr>
          <w:rFonts w:ascii="Arial" w:cs="Arial" w:eastAsia="Arial" w:hAnsi="Arial"/>
        </w:rPr>
        <w:t xml:space="preserve"/>
      </w:r>
    </w:p>
    <w:p>
      <w:pPr>
        <w:spacing w:after="40" w:before="80"/>
      </w:pPr>
      <w:r>
        <w:rPr>
          <w:rFonts w:ascii="Arial" w:cs="Arial" w:eastAsia="Arial" w:hAnsi="Arial"/>
          <w:b/>
          <w:bCs/>
          <w:sz w:val="19"/>
          <w:szCs w:val="19"/>
        </w:rPr>
        <w:t xml:space="preserve">Typical tender (up to 200 pages): </w:t>
      </w:r>
      <w:r>
        <w:rPr>
          <w:rFonts w:ascii="Arial" w:cs="Arial" w:eastAsia="Arial" w:hAnsi="Arial"/>
          <w:sz w:val="19"/>
          <w:szCs w:val="19"/>
        </w:rPr>
        <w:t xml:space="preserve">$6 – $22 per tender</w:t>
      </w:r>
    </w:p>
    <w:p>
      <w:pPr>
        <w:spacing w:after="80" w:before="40"/>
      </w:pPr>
      <w:r>
        <w:rPr>
          <w:rFonts w:ascii="Arial" w:cs="Arial" w:eastAsia="Arial" w:hAnsi="Arial"/>
          <w:b/>
          <w:bCs/>
          <w:sz w:val="19"/>
          <w:szCs w:val="19"/>
        </w:rPr>
        <w:t xml:space="preserve">Large / complex tender (500+ pages, heavy Q&amp;A): </w:t>
      </w:r>
      <w:r>
        <w:rPr>
          <w:rFonts w:ascii="Arial" w:cs="Arial" w:eastAsia="Arial" w:hAnsi="Arial"/>
          <w:sz w:val="19"/>
          <w:szCs w:val="19"/>
        </w:rPr>
        <w:t xml:space="preserve">$25 – $60 per tender</w:t>
      </w:r>
    </w:p>
    <w:p>
      <w:r>
        <w:rPr>
          <w:rFonts w:ascii="Arial" w:cs="Arial" w:eastAsia="Arial" w:hAnsi="Arial"/>
        </w:rPr>
        <w:t xml:space="preserve"/>
      </w:r>
    </w:p>
    <w:p>
      <w:pPr>
        <w:pStyle w:val="Heading2"/>
        <w:spacing w:after="80" w:before="200"/>
      </w:pPr>
      <w:r>
        <w:rPr>
          <w:rFonts w:ascii="Arial" w:cs="Arial" w:eastAsia="Arial" w:hAnsi="Arial"/>
          <w:b/>
          <w:bCs/>
          <w:color w:val="2E5E9E"/>
          <w:sz w:val="24"/>
          <w:szCs w:val="24"/>
        </w:rPr>
        <w:t xml:space="preserve">Monthly Estimate by Volume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780"/>
        <w:gridCol w:w="4780"/>
      </w:tblGrid>
      <w:tr>
        <w:trPr>
          <w:tblHeader/>
        </w:trPr>
        <w:tc>
          <w:tcPr>
            <w:tcW w:type="dxa" w:w="478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Tenders per Month</w:t>
            </w:r>
          </w:p>
        </w:tc>
        <w:tc>
          <w:tcPr>
            <w:tcW w:type="dxa" w:w="478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Estimated Monthly AI Cost</w:t>
            </w:r>
          </w:p>
        </w:tc>
      </w:tr>
      <w:tr>
        <w:tc>
          <w:tcPr>
            <w:tcW w:type="dxa" w:w="478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10 tenders / month</w:t>
            </w:r>
          </w:p>
        </w:tc>
        <w:tc>
          <w:tcPr>
            <w:tcW w:type="dxa" w:w="478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$60 – $600</w:t>
            </w:r>
          </w:p>
        </w:tc>
      </w:tr>
      <w:tr>
        <w:tc>
          <w:tcPr>
            <w:tcW w:type="dxa" w:w="478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50 tenders / month</w:t>
            </w:r>
          </w:p>
        </w:tc>
        <w:tc>
          <w:tcPr>
            <w:tcW w:type="dxa" w:w="478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$300 – $3,000</w:t>
            </w:r>
          </w:p>
        </w:tc>
      </w:tr>
      <w:tr>
        <w:tc>
          <w:tcPr>
            <w:tcW w:type="dxa" w:w="478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100 tenders / month</w:t>
            </w:r>
          </w:p>
        </w:tc>
        <w:tc>
          <w:tcPr>
            <w:tcW w:type="dxa" w:w="478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$600 – $6,000</w:t>
            </w:r>
          </w:p>
        </w:tc>
      </w:tr>
    </w:tbl>
    <w:p>
      <w:r>
        <w:rPr>
          <w:rFonts w:ascii="Arial" w:cs="Arial" w:eastAsia="Arial" w:hAnsi="Arial"/>
        </w:rPr>
        <w:t xml:space="preserve"/>
      </w:r>
    </w:p>
    <w:p>
      <w:pPr>
        <w:spacing w:after="60" w:before="60"/>
      </w:pPr>
      <w:r>
        <w:rPr>
          <w:rFonts w:ascii="Arial" w:cs="Arial" w:eastAsia="Arial" w:hAnsi="Arial"/>
          <w:i/>
          <w:iCs/>
          <w:sz w:val="21"/>
          <w:szCs w:val="21"/>
        </w:rPr>
        <w:t xml:space="preserve">Cost optimization options: use GPT-4o-mini for lower-risk extraction passes, cache embeddings for unchanged documents, batch process non-urgent tenders overnight, use Azure OpenAI committed-use pricing for volume discounts.</w:t>
      </w:r>
    </w:p>
    <w:p>
      <w:r>
        <w:rPr>
          <w:rFonts w:ascii="Arial" w:cs="Arial" w:eastAsia="Arial" w:hAnsi="Arial"/>
        </w:rPr>
        <w:t xml:space="preserve"/>
      </w:r>
    </w:p>
    <w:p>
      <w:pPr>
        <w:spacing w:after="60" w:before="60"/>
      </w:pPr>
      <w:r>
        <w:rPr>
          <w:rFonts w:ascii="Arial" w:cs="Arial" w:eastAsia="Arial" w:hAnsi="Arial"/>
          <w:color w:val="888888"/>
          <w:sz w:val="21"/>
          <w:szCs w:val="21"/>
        </w:rPr>
        <w:t xml:space="preserve">Note: Infrastructure, implementation, and support costs are determined separately. The above figures cover only the OpenAI API spend.</w:t>
      </w:r>
    </w:p>
    <w:p>
      <w:r>
        <w:br w:type="page"/>
      </w:r>
    </w:p>
    <w:p>
      <w:pPr>
        <w:pStyle w:val="Heading1"/>
        <w:spacing w:after="120" w:before="320"/>
      </w:pPr>
      <w:r>
        <w:rPr>
          <w:rFonts w:ascii="Arial" w:cs="Arial" w:eastAsia="Arial" w:hAnsi="Arial"/>
          <w:b/>
          <w:bCs/>
          <w:color w:val="1F3864"/>
          <w:sz w:val="30"/>
          <w:szCs w:val="30"/>
        </w:rPr>
        <w:t xml:space="preserve">8. What We Need From You</w:t>
      </w:r>
    </w:p>
    <w:p>
      <w:pPr>
        <w:pStyle w:val="ListParagraph"/>
        <w:numPr>
          <w:ilvl w:val="0"/>
          <w:numId w:val="2"/>
        </w:numPr>
        <w:spacing w:after="40" w:before="40"/>
      </w:pPr>
      <w:r>
        <w:rPr>
          <w:rFonts w:ascii="Arial" w:cs="Arial" w:eastAsia="Arial" w:hAnsi="Arial"/>
          <w:sz w:val="21"/>
          <w:szCs w:val="21"/>
        </w:rPr>
        <w:t xml:space="preserve">Sample RFP and tender documents (3 – 5 examples) for prompt tuning before each phase</w:t>
      </w:r>
    </w:p>
    <w:p>
      <w:pPr>
        <w:pStyle w:val="ListParagraph"/>
        <w:numPr>
          <w:ilvl w:val="0"/>
          <w:numId w:val="2"/>
        </w:numPr>
        <w:spacing w:after="40" w:before="40"/>
      </w:pPr>
      <w:r>
        <w:rPr>
          <w:rFonts w:ascii="Arial" w:cs="Arial" w:eastAsia="Arial" w:hAnsi="Arial"/>
          <w:sz w:val="21"/>
          <w:szCs w:val="21"/>
        </w:rPr>
        <w:t xml:space="preserve">Access to an SME and bid team member for user acceptance testing at each phase gate</w:t>
      </w:r>
    </w:p>
    <w:p>
      <w:pPr>
        <w:pStyle w:val="ListParagraph"/>
        <w:numPr>
          <w:ilvl w:val="0"/>
          <w:numId w:val="2"/>
        </w:numPr>
        <w:spacing w:after="40" w:before="40"/>
      </w:pPr>
      <w:r>
        <w:rPr>
          <w:rFonts w:ascii="Arial" w:cs="Arial" w:eastAsia="Arial" w:hAnsi="Arial"/>
          <w:sz w:val="21"/>
          <w:szCs w:val="21"/>
        </w:rPr>
        <w:t xml:space="preserve">Approval of OpenAI or Azure OpenAI data processing terms before Phase A begins</w:t>
      </w:r>
    </w:p>
    <w:p>
      <w:pPr>
        <w:pStyle w:val="ListParagraph"/>
        <w:numPr>
          <w:ilvl w:val="0"/>
          <w:numId w:val="2"/>
        </w:numPr>
        <w:spacing w:after="40" w:before="40"/>
      </w:pPr>
      <w:r>
        <w:rPr>
          <w:rFonts w:ascii="Arial" w:cs="Arial" w:eastAsia="Arial" w:hAnsi="Arial"/>
          <w:sz w:val="21"/>
          <w:szCs w:val="21"/>
        </w:rPr>
        <w:t xml:space="preserve">An assigned product owner and bid manager — one decision-making contact per phase</w:t>
      </w:r>
    </w:p>
    <w:p>
      <w:pPr>
        <w:pStyle w:val="ListParagraph"/>
        <w:numPr>
          <w:ilvl w:val="0"/>
          <w:numId w:val="2"/>
        </w:numPr>
        <w:spacing w:after="40" w:before="40"/>
      </w:pPr>
      <w:r>
        <w:rPr>
          <w:rFonts w:ascii="Arial" w:cs="Arial" w:eastAsia="Arial" w:hAnsi="Arial"/>
          <w:sz w:val="21"/>
          <w:szCs w:val="21"/>
        </w:rPr>
        <w:t xml:space="preserve">Company Knowledge Base documents for initial upload: certifications, case studies, rate cards</w:t>
      </w:r>
    </w:p>
    <w:p>
      <w:r>
        <w:rPr>
          <w:rFonts w:ascii="Arial" w:cs="Arial" w:eastAsia="Arial" w:hAnsi="Arial"/>
        </w:rPr>
        <w:t xml:space="preserve"/>
      </w:r>
    </w:p>
    <w:p>
      <w:pPr>
        <w:spacing w:after="60" w:before="60"/>
      </w:pPr>
      <w:r>
        <w:rPr>
          <w:rFonts w:ascii="Arial" w:cs="Arial" w:eastAsia="Arial" w:hAnsi="Arial"/>
          <w:b/>
          <w:bCs/>
          <w:sz w:val="21"/>
          <w:szCs w:val="21"/>
        </w:rPr>
        <w:t xml:space="preserve">Human review is mandatory before any proposal output is submitted externally. The platform generates drafts — your team approves.</w:t>
      </w:r>
    </w:p>
    <w:p>
      <w:r>
        <w:br w:type="page"/>
      </w:r>
    </w:p>
    <w:p>
      <w:pPr>
        <w:pStyle w:val="Heading1"/>
        <w:spacing w:after="120" w:before="320"/>
      </w:pPr>
      <w:r>
        <w:rPr>
          <w:rFonts w:ascii="Arial" w:cs="Arial" w:eastAsia="Arial" w:hAnsi="Arial"/>
          <w:b/>
          <w:bCs/>
          <w:color w:val="1F3864"/>
          <w:sz w:val="30"/>
          <w:szCs w:val="30"/>
        </w:rPr>
        <w:t xml:space="preserve">9. Security &amp; Compliance</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2800"/>
        <w:gridCol w:w="6760"/>
      </w:tblGrid>
      <w:tr>
        <w:trPr>
          <w:tblHeader/>
        </w:trPr>
        <w:tc>
          <w:tcPr>
            <w:tcW w:type="dxa" w:w="280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Area</w:t>
            </w:r>
          </w:p>
        </w:tc>
        <w:tc>
          <w:tcPr>
            <w:tcW w:type="dxa" w:w="676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Commitment</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Data encryption</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All data encrypted at rest and in transit.</w:t>
            </w:r>
          </w:p>
        </w:tc>
      </w:tr>
      <w:tr>
        <w:tc>
          <w:tcPr>
            <w:tcW w:type="dxa" w:w="2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AI data policy</w:t>
            </w:r>
          </w:p>
        </w:tc>
        <w:tc>
          <w:tcPr>
            <w:tcW w:type="dxa" w:w="67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Client data is not used to train AI models. OpenAI enterprise data policy applies. Azure OpenAI available for regulated sectors requiring data residency.</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Audit trail</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Every AI generation event is logged: who triggered it, when, which prompt version, which knowledge version used.</w:t>
            </w:r>
          </w:p>
        </w:tc>
      </w:tr>
      <w:tr>
        <w:tc>
          <w:tcPr>
            <w:tcW w:type="dxa" w:w="280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Access control</w:t>
            </w:r>
          </w:p>
        </w:tc>
        <w:tc>
          <w:tcPr>
            <w:tcW w:type="dxa" w:w="67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Role-based permissions. Commercial pricing visible only to commercial roles.</w:t>
            </w:r>
          </w:p>
        </w:tc>
      </w:tr>
      <w:tr>
        <w:tc>
          <w:tcPr>
            <w:tcW w:type="dxa" w:w="280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Draft discipline</w:t>
            </w:r>
          </w:p>
        </w:tc>
        <w:tc>
          <w:tcPr>
            <w:tcW w:type="dxa" w:w="67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All exports watermarked as drafts until a named reviewer approves.</w:t>
            </w:r>
          </w:p>
        </w:tc>
      </w:tr>
    </w:tbl>
    <w:p>
      <w:r>
        <w:br w:type="page"/>
      </w:r>
    </w:p>
    <w:p>
      <w:pPr>
        <w:pStyle w:val="Heading1"/>
        <w:spacing w:after="120" w:before="320"/>
      </w:pPr>
      <w:r>
        <w:rPr>
          <w:rFonts w:ascii="Arial" w:cs="Arial" w:eastAsia="Arial" w:hAnsi="Arial"/>
          <w:b/>
          <w:bCs/>
          <w:color w:val="1F3864"/>
          <w:sz w:val="30"/>
          <w:szCs w:val="30"/>
        </w:rPr>
        <w:t xml:space="preserve">10. Next Steps</w:t>
      </w:r>
    </w:p>
    <w:tbl>
      <w:tblPr>
        <w:tblW w:type="dxa" w:w="9560"/>
        <w:tblBorders>
          <w:top w:val="single" w:color="auto" w:sz="4"/>
          <w:left w:val="single" w:color="auto" w:sz="4"/>
          <w:bottom w:val="single" w:color="auto" w:sz="4"/>
          <w:right w:val="single" w:color="auto" w:sz="4"/>
          <w:insideH w:val="single" w:color="auto" w:sz="4"/>
          <w:insideV w:val="single" w:color="auto" w:sz="4"/>
        </w:tblBorders>
      </w:tblPr>
      <w:tblGrid>
        <w:gridCol w:w="480"/>
        <w:gridCol w:w="6720"/>
        <w:gridCol w:w="2360"/>
      </w:tblGrid>
      <w:tr>
        <w:trPr>
          <w:tblHeader/>
        </w:trPr>
        <w:tc>
          <w:tcPr>
            <w:tcW w:type="dxa" w:w="48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Step</w:t>
            </w:r>
          </w:p>
        </w:tc>
        <w:tc>
          <w:tcPr>
            <w:tcW w:type="dxa" w:w="672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Action</w:t>
            </w:r>
          </w:p>
        </w:tc>
        <w:tc>
          <w:tcPr>
            <w:tcW w:type="dxa" w:w="2360"/>
            <w:tcBorders>
              <w:top w:val="single" w:color="B0BFCE" w:sz="1"/>
              <w:left w:val="single" w:color="B0BFCE" w:sz="1"/>
              <w:bottom w:val="single" w:color="B0BFCE" w:sz="1"/>
              <w:right w:val="single" w:color="B0BFCE" w:sz="1"/>
            </w:tcBorders>
            <w:shd w:fill="1F3864" w:val="clear"/>
            <w:tcMar>
              <w:top w:type="dxa" w:w="100"/>
              <w:left w:type="dxa" w:w="140"/>
              <w:bottom w:type="dxa" w:w="100"/>
              <w:right w:type="dxa" w:w="140"/>
            </w:tcMar>
          </w:tcPr>
          <w:p>
            <w:r>
              <w:rPr>
                <w:rFonts w:ascii="Arial" w:cs="Arial" w:eastAsia="Arial" w:hAnsi="Arial"/>
                <w:b/>
                <w:bCs/>
                <w:color w:val="FFFFFF"/>
                <w:sz w:val="19"/>
                <w:szCs w:val="19"/>
              </w:rPr>
              <w:t xml:space="preserve">Owner</w:t>
            </w:r>
          </w:p>
        </w:tc>
      </w:tr>
      <w:tr>
        <w:tc>
          <w:tcPr>
            <w:tcW w:type="dxa" w:w="48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1</w:t>
            </w:r>
          </w:p>
        </w:tc>
        <w:tc>
          <w:tcPr>
            <w:tcW w:type="dxa" w:w="672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Review this proposal and confirm scope and phasing.</w:t>
            </w:r>
          </w:p>
        </w:tc>
        <w:tc>
          <w:tcPr>
            <w:tcW w:type="dxa" w:w="23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Client</w:t>
            </w:r>
          </w:p>
        </w:tc>
      </w:tr>
      <w:tr>
        <w:tc>
          <w:tcPr>
            <w:tcW w:type="dxa" w:w="48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2</w:t>
            </w:r>
          </w:p>
        </w:tc>
        <w:tc>
          <w:tcPr>
            <w:tcW w:type="dxa" w:w="672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Agree on deployment model (cloud, Azure OpenAI, on-premise).</w:t>
            </w:r>
          </w:p>
        </w:tc>
        <w:tc>
          <w:tcPr>
            <w:tcW w:type="dxa" w:w="23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Both</w:t>
            </w:r>
          </w:p>
        </w:tc>
      </w:tr>
      <w:tr>
        <w:tc>
          <w:tcPr>
            <w:tcW w:type="dxa" w:w="48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3</w:t>
            </w:r>
          </w:p>
        </w:tc>
        <w:tc>
          <w:tcPr>
            <w:tcW w:type="dxa" w:w="672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Finalise contract and Statement of Work.</w:t>
            </w:r>
          </w:p>
        </w:tc>
        <w:tc>
          <w:tcPr>
            <w:tcW w:type="dxa" w:w="23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Both</w:t>
            </w:r>
          </w:p>
        </w:tc>
      </w:tr>
      <w:tr>
        <w:tc>
          <w:tcPr>
            <w:tcW w:type="dxa" w:w="48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4</w:t>
            </w:r>
          </w:p>
        </w:tc>
        <w:tc>
          <w:tcPr>
            <w:tcW w:type="dxa" w:w="672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Provide sample tender documents and assign product owner.</w:t>
            </w:r>
          </w:p>
        </w:tc>
        <w:tc>
          <w:tcPr>
            <w:tcW w:type="dxa" w:w="2360"/>
            <w:tcBorders>
              <w:top w:val="single" w:color="B0BFCE" w:sz="1"/>
              <w:left w:val="single" w:color="B0BFCE" w:sz="1"/>
              <w:bottom w:val="single" w:color="B0BFCE" w:sz="1"/>
              <w:right w:val="single" w:color="B0BFCE" w:sz="1"/>
            </w:tcBorders>
            <w:shd w:fill="E8EEF6" w:val="clear"/>
            <w:tcMar>
              <w:top w:type="dxa" w:w="100"/>
              <w:left w:type="dxa" w:w="140"/>
              <w:bottom w:type="dxa" w:w="100"/>
              <w:right w:type="dxa" w:w="140"/>
            </w:tcMar>
          </w:tcPr>
          <w:p>
            <w:r>
              <w:rPr>
                <w:rFonts w:ascii="Arial" w:cs="Arial" w:eastAsia="Arial" w:hAnsi="Arial"/>
                <w:sz w:val="19"/>
                <w:szCs w:val="19"/>
              </w:rPr>
              <w:t xml:space="preserve">Client</w:t>
            </w:r>
          </w:p>
        </w:tc>
      </w:tr>
      <w:tr>
        <w:tc>
          <w:tcPr>
            <w:tcW w:type="dxa" w:w="48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5</w:t>
            </w:r>
          </w:p>
        </w:tc>
        <w:tc>
          <w:tcPr>
            <w:tcW w:type="dxa" w:w="672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Kickoff Phase A on contract signature.</w:t>
            </w:r>
          </w:p>
        </w:tc>
        <w:tc>
          <w:tcPr>
            <w:tcW w:type="dxa" w:w="2360"/>
            <w:tcBorders>
              <w:top w:val="single" w:color="B0BFCE" w:sz="1"/>
              <w:left w:val="single" w:color="B0BFCE" w:sz="1"/>
              <w:bottom w:val="single" w:color="B0BFCE" w:sz="1"/>
              <w:right w:val="single" w:color="B0BFCE" w:sz="1"/>
            </w:tcBorders>
            <w:shd w:fill="FFFFFF" w:val="clear"/>
            <w:tcMar>
              <w:top w:type="dxa" w:w="100"/>
              <w:left w:type="dxa" w:w="140"/>
              <w:bottom w:type="dxa" w:w="100"/>
              <w:right w:type="dxa" w:w="140"/>
            </w:tcMar>
          </w:tcPr>
          <w:p>
            <w:r>
              <w:rPr>
                <w:rFonts w:ascii="Arial" w:cs="Arial" w:eastAsia="Arial" w:hAnsi="Arial"/>
                <w:sz w:val="19"/>
                <w:szCs w:val="19"/>
              </w:rPr>
              <w:t xml:space="preserve">Both</w:t>
            </w:r>
          </w:p>
        </w:tc>
      </w:tr>
    </w:tbl>
    <w:p>
      <w:r>
        <w:rPr>
          <w:rFonts w:ascii="Arial" w:cs="Arial" w:eastAsia="Arial" w:hAnsi="Arial"/>
        </w:rPr>
        <w:t xml:space="preserve"/>
      </w:r>
    </w:p>
    <w:p>
      <w:r>
        <w:rPr>
          <w:rFonts w:ascii="Arial" w:cs="Arial" w:eastAsia="Arial" w:hAnsi="Arial"/>
        </w:rPr>
        <w:t xml:space="preserve"/>
      </w:r>
    </w:p>
    <w:p>
      <w:pPr>
        <w:pBdr>
          <w:bottom w:val="single" w:color="B0BFCE" w:sz="4" w:space="1"/>
        </w:pBdr>
        <w:spacing w:after="100" w:before="100"/>
      </w:pPr>
    </w:p>
    <w:p>
      <w:r>
        <w:rPr>
          <w:rFonts w:ascii="Arial" w:cs="Arial" w:eastAsia="Arial" w:hAnsi="Arial"/>
        </w:rPr>
        <w:t xml:space="preserve"/>
      </w:r>
    </w:p>
    <w:p>
      <w:pPr>
        <w:spacing w:after="40" w:before="80"/>
        <w:jc w:val="center"/>
      </w:pPr>
      <w:r>
        <w:rPr>
          <w:rFonts w:ascii="Arial" w:cs="Arial" w:eastAsia="Arial" w:hAnsi="Arial"/>
          <w:i/>
          <w:iCs/>
          <w:color w:val="1F3864"/>
          <w:sz w:val="23"/>
          <w:szCs w:val="23"/>
        </w:rPr>
        <w:t xml:space="preserve">We look forward to working with you.</w:t>
      </w:r>
    </w:p>
    <w:p>
      <w:pPr>
        <w:spacing w:after="40" w:before="40"/>
        <w:jc w:val="center"/>
      </w:pPr>
      <w:r>
        <w:rPr>
          <w:rFonts w:ascii="Arial" w:cs="Arial" w:eastAsia="Arial" w:hAnsi="Arial"/>
          <w:color w:val="888888"/>
          <w:sz w:val="20"/>
          <w:szCs w:val="20"/>
        </w:rPr>
        <w:t xml:space="preserve">[Your Organization]   |   [Contact Name]   |   [Email]</w:t>
      </w:r>
    </w:p>
    <w:sectPr>
      <w:headerReference w:type="default" r:id="rId7"/>
      <w:footerReference w:type="default" r:id="rId8"/>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FCE" w:sz="3" w:space="1"/>
      </w:pBdr>
      <w:jc w:val="right"/>
    </w:pPr>
    <w:r>
      <w:rPr>
        <w:rFonts w:ascii="Arial" w:cs="Arial" w:eastAsia="Arial" w:hAnsi="Arial"/>
        <w:color w:val="888888"/>
        <w:sz w:val="17"/>
        <w:szCs w:val="17"/>
      </w:rPr>
      <w:t xml:space="preserve">Page </w:t>
    </w:r>
    <w:r>
      <w:rPr>
        <w:rFonts w:ascii="Arial" w:cs="Arial" w:eastAsia="Arial" w:hAnsi="Arial"/>
        <w:color w:val="888888"/>
        <w:sz w:val="17"/>
        <w:szCs w:val="17"/>
      </w:rPr>
      <w:fldChar w:fldCharType="begin"/>
      <w:instrText xml:space="preserve">PAGE</w:instrText>
      <w:fldChar w:fldCharType="separate"/>
      <w:fldChar w:fldCharType="end"/>
    </w:r>
    <w:r>
      <w:rPr>
        <w:rFonts w:ascii="Arial" w:cs="Arial" w:eastAsia="Arial" w:hAnsi="Arial"/>
        <w:color w:val="888888"/>
        <w:sz w:val="17"/>
        <w:szCs w:val="17"/>
      </w:rPr>
      <w:t xml:space="preserve"> of </w:t>
    </w:r>
    <w:r>
      <w:rPr>
        <w:rFonts w:ascii="Arial" w:cs="Arial" w:eastAsia="Arial" w:hAnsi="Arial"/>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BFCE" w:sz="3" w:space="1"/>
      </w:pBdr>
    </w:pPr>
    <w:r>
      <w:rPr>
        <w:rFonts w:ascii="Arial" w:cs="Arial" w:eastAsia="Arial" w:hAnsi="Arial"/>
        <w:color w:val="888888"/>
        <w:sz w:val="17"/>
        <w:szCs w:val="17"/>
      </w:rPr>
      <w:t xml:space="preserve">RFQ/RFP Document Intelligence Platform — Proposal   |   Confidential   |   23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5E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2026-06-23T11:16:31.319Z</dcterms:created>
  <dcterms:modified xsi:type="dcterms:W3CDTF">2026-06-23T11:16:31.321Z</dcterms:modified>
</cp:coreProperties>
</file>

<file path=docProps/custom.xml><?xml version="1.0" encoding="utf-8"?>
<Properties xmlns="http://schemas.openxmlformats.org/officeDocument/2006/custom-properties" xmlns:vt="http://schemas.openxmlformats.org/officeDocument/2006/docPropsVTypes"/>
</file>