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Cambria" w:cs="Cambria" w:eastAsia="Cambria" w:hAnsi="Cambria"/>
          <w:b/>
          <w:bCs/>
          <w:color w:val="0B1F3A"/>
          <w:sz w:val="56"/>
          <w:szCs w:val="56"/>
        </w:rPr>
        <w:t xml:space="preserve">Auto Parts Price Outlook</w:t>
      </w:r>
    </w:p>
    <w:p>
      <w:pPr>
        <w:spacing w:after="120"/>
      </w:pPr>
      <w:r>
        <w:rPr>
          <w:rFonts w:ascii="Calibri" w:cs="Calibri" w:eastAsia="Calibri" w:hAnsi="Calibri"/>
          <w:color w:val="2563EB"/>
          <w:sz w:val="28"/>
          <w:szCs w:val="28"/>
        </w:rPr>
        <w:t xml:space="preserve">Next 6 months: what moves, why, and who to call</w:t>
      </w:r>
    </w:p>
    <w:p>
      <w:pPr>
        <w:spacing w:after="36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Prepared for Leadership Review. Generated by Radar from the connected knowledge base.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B1F3A"/>
          <w:sz w:val="32"/>
          <w:szCs w:val="32"/>
        </w:rPr>
        <w:t xml:space="preserve">1. Executive summary</w:t>
      </w:r>
    </w:p>
    <w:p>
      <w:pPr>
        <w:spacing w:after="14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forecast basket rises 1.29% over the next six months, from ₹17.56 lakh today to ₹17.78 lakh in December 2026. The move is small overall but uneven: Electrical and Lighting rise sharply while HVAC and Powertrain ease.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Prices peak at ₹17.93 lakh in October, then soften through December.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₹2.83 lakh of spend (16.1% of the basket, 73 parts) is exposed to increases above 5%.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Four vendors account for 62% of that risk, led by Minda Industries at 23.6%.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best model (XGBoost) reaches 96.7% accuracy on a 60-part backtest.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B1F3A"/>
          <w:sz w:val="32"/>
          <w:szCs w:val="32"/>
        </w:rPr>
        <w:t xml:space="preserve">2. Price forecast</w:t>
      </w:r>
    </w:p>
    <w:p>
      <w:pPr>
        <w:spacing w:after="14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basket climbs through October and then eases. The confidence band widens to about ±₹0.7 lakh by August, so early buys carry less risk than late ones.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Figure 1. Forecast basket price, July to December 2026. Source: Pricing Models.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B1F3A"/>
          <w:sz w:val="32"/>
          <w:szCs w:val="32"/>
        </w:rPr>
        <w:t xml:space="preserve">3. Category movement</w:t>
      </w:r>
    </w:p>
    <w:p>
      <w:pPr>
        <w:spacing w:after="14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Electrical (+6.8%) and Lighting (+5.1%) lead the increases. HVAC is the only category with a meaningful decline (-2.9%).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Figure 2. Forecast price change by category over six months. Source: Category Cost Reports.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Figure 3. Share of basket spend. Powertrain and HVAC together hold 44.3% of spend. Source: Category Cost Reports.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B1F3A"/>
          <w:sz w:val="32"/>
          <w:szCs w:val="32"/>
        </w:rPr>
        <w:t xml:space="preserve">4. Drivers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Currency: a 10% FX rise lifts the basket about 1.6%, mostly through imported electronics.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Raw materials: copper and aluminium contracts reprice in Q4 and feed wiring and lighting.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Logistics and duty: freight and duty shocks move the basket by less than 0.4% in every scenario tested.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B1F3A"/>
          <w:sz w:val="32"/>
          <w:szCs w:val="32"/>
        </w:rPr>
        <w:t xml:space="preserve">5. Supplier risk</w:t>
      </w:r>
    </w:p>
    <w:p>
      <w:pPr>
        <w:spacing w:after="14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is concentrated. Minda Industries, Varroc Engineering, Valeo India and Bosch India hold 62.2% of spend at risk.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Figure 4. Share of spend at risk by vendor. Source: Supplier Master.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4700"/>
      </w:tblGrid>
      <w:tr>
        <w:trPr>
          <w:tblHeader/>
        </w:trPr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Vendor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Share of risk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F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Suggested action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Minda Industries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23.6%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Open price review, lock Q4 volume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Varroc Engineering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15.0%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Request cost breakdown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Valeo India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12.1%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Negotiate index-linked clause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Bosch India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11.5%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Confirm Q4 pricing validity</w:t>
            </w:r>
          </w:p>
        </w:tc>
      </w:tr>
    </w:tbl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B1F3A"/>
          <w:sz w:val="32"/>
          <w:szCs w:val="32"/>
        </w:rPr>
        <w:t xml:space="preserve">6. Recommended next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early buys for Electrical and Lighting before the October peak.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price reviews with Minda, Varroc, Valeo and Bosch this month.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the FX hedge position against the 10% scenario.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Re-run this outlook after the November contract repricing.</w:t>
      </w:r>
    </w:p>
    <w:sectPr>
      <w:footerReference w:type="default" r:id="rId6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Auto Parts Price Outlook  |  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8a4fb7d6df003e1ea28f559c5ab5ec39fbaf048.png"/><Relationship Id="rId9" Type="http://schemas.openxmlformats.org/officeDocument/2006/relationships/image" Target="media/1ea369984472580f3bda6e6ba2ac96eafc2a76fe.png"/><Relationship Id="rId10" Type="http://schemas.openxmlformats.org/officeDocument/2006/relationships/image" Target="media/0b7109e28879803633c51d3930b62c155bb476d7.png"/><Relationship Id="rId11" Type="http://schemas.openxmlformats.org/officeDocument/2006/relationships/image" Target="media/3d72cf237d890c3ea2100f29f818be9c8e126ae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Parts Price Outlook</dc:title>
  <dc:creator>Radar</dc:creator>
  <cp:lastModifiedBy>Un-named</cp:lastModifiedBy>
  <cp:revision>1</cp:revision>
  <dcterms:created xsi:type="dcterms:W3CDTF">2026-10-14T05:24:25.453Z</dcterms:created>
  <dcterms:modified xsi:type="dcterms:W3CDTF">2026-10-14T05:24:25.454Z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