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2D5A9E"/>
          <w:sz w:val="26"/>
          <w:szCs w:val="26"/>
        </w:rPr>
        <w:t xml:space="preserve">CORCOVADO WILDERNESS LODGE</w:t>
      </w:r>
    </w:p>
    <w:p>
      <w:pPr>
        <w:pBdr>
          <w:bottom w:val="single" w:color="1A3A5C" w:sz="12" w:space="8"/>
        </w:pBdr>
        <w:spacing w:after="200"/>
      </w:pPr>
      <w:r>
        <w:rPr>
          <w:rFonts w:ascii="Calibri" w:cs="Calibri" w:eastAsia="Calibri" w:hAnsi="Calibri"/>
          <w:b/>
          <w:bCs/>
          <w:color w:val="1A3A5C"/>
          <w:sz w:val="56"/>
          <w:szCs w:val="56"/>
        </w:rPr>
        <w:t xml:space="preserve">2027 Pacing &amp; Revenue Outlook</w:t>
      </w:r>
    </w:p>
    <w:p>
      <w:pPr>
        <w:spacing w:after="600" w:before="0" w:line="276"/>
      </w:pPr>
      <w:r>
        <w:rPr>
          <w:rFonts w:ascii="Calibri" w:cs="Calibri" w:eastAsia="Calibri" w:hAnsi="Calibri"/>
          <w:color w:val="4A5568"/>
          <w:sz w:val="28"/>
          <w:szCs w:val="28"/>
        </w:rPr>
        <w:t xml:space="preserve">Month-by-month analysis, reliability of the projection, opportunities and risks</w:t>
      </w:r>
    </w:p>
    <w:p>
      <w:pPr>
        <w:spacing w:after="80" w:before="0" w:line="276"/>
      </w:pPr>
      <w:r>
        <w:rPr>
          <w:rFonts w:ascii="Calibri" w:cs="Calibri" w:eastAsia="Calibri" w:hAnsi="Calibri"/>
          <w:b/>
          <w:bCs/>
          <w:sz w:val="24"/>
          <w:szCs w:val="24"/>
        </w:rPr>
        <w:t xml:space="preserve">Report to the Board of Directors</w:t>
      </w:r>
    </w:p>
    <w:p>
      <w:pPr>
        <w:spacing w:after="80" w:before="0" w:line="276"/>
      </w:pPr>
      <w:r>
        <w:rPr>
          <w:rFonts w:ascii="Calibri" w:cs="Calibri" w:eastAsia="Calibri" w:hAnsi="Calibri"/>
          <w:sz w:val="22"/>
          <w:szCs w:val="22"/>
        </w:rPr>
        <w:t xml:space="preserve">Prepared by: Finance — The Costa Rica Collection</w:t>
      </w:r>
    </w:p>
    <w:p>
      <w:pPr>
        <w:spacing w:after="80" w:before="0" w:line="276"/>
      </w:pPr>
      <w:r>
        <w:rPr>
          <w:rFonts w:ascii="Calibri" w:cs="Calibri" w:eastAsia="Calibri" w:hAnsi="Calibri"/>
          <w:sz w:val="22"/>
          <w:szCs w:val="22"/>
        </w:rPr>
        <w:t xml:space="preserve">Data as of: 30 September 2026 (Opera History &amp; Forecast and Reservations Entered On)</w:t>
      </w:r>
    </w:p>
    <w:p>
      <w:pPr>
        <w:spacing w:after="1600" w:before="0" w:line="276"/>
      </w:pPr>
      <w:r>
        <w:rPr>
          <w:rFonts w:ascii="Calibri" w:cs="Calibri" w:eastAsia="Calibri" w:hAnsi="Calibri"/>
          <w:sz w:val="22"/>
          <w:szCs w:val="22"/>
        </w:rPr>
        <w:t xml:space="preserve">Metric: Total Revenue · Projection method: availability (fill rate of free rooms)</w:t>
      </w:r>
    </w:p>
    <w:p>
      <w:pPr>
        <w:spacing w:after="120" w:before="0" w:line="276"/>
      </w:pPr>
      <w:r>
        <w:rPr>
          <w:rFonts w:ascii="Calibri" w:cs="Calibri" w:eastAsia="Calibri" w:hAnsi="Calibri"/>
          <w:i/>
          <w:iCs/>
          <w:color w:val="4A5568"/>
          <w:sz w:val="18"/>
          <w:szCs w:val="18"/>
        </w:rPr>
        <w:t xml:space="preserve">Confidential — for Board use only</w:t>
      </w:r>
    </w:p>
    <w:p>
      <w:r>
        <w:br w:type="page"/>
      </w:r>
    </w:p>
    <w:p>
      <w:pPr>
        <w:spacing w:after="200" w:before="0" w:line="276"/>
      </w:pPr>
      <w:r>
        <w:rPr>
          <w:rFonts w:ascii="Calibri" w:cs="Calibri" w:eastAsia="Calibri" w:hAnsi="Calibri"/>
          <w:b/>
          <w:bCs/>
          <w:color w:val="1A3A5C"/>
          <w:sz w:val="32"/>
          <w:szCs w:val="32"/>
        </w:rPr>
        <w:t xml:space="preserve">Contents</w:t>
      </w:r>
    </w:p>
    <w:p>
      <w:pPr>
        <w:spacing w:after="140" w:before="0" w:line="276"/>
      </w:pPr>
      <w:r>
        <w:rPr>
          <w:rFonts w:ascii="Calibri" w:cs="Calibri" w:eastAsia="Calibri" w:hAnsi="Calibri"/>
          <w:sz w:val="23"/>
          <w:szCs w:val="23"/>
        </w:rPr>
        <w:t xml:space="preserve">1. Executive Summary</w:t>
      </w:r>
    </w:p>
    <w:p>
      <w:pPr>
        <w:spacing w:after="140" w:before="0" w:line="276"/>
      </w:pPr>
      <w:r>
        <w:rPr>
          <w:rFonts w:ascii="Calibri" w:cs="Calibri" w:eastAsia="Calibri" w:hAnsi="Calibri"/>
          <w:sz w:val="23"/>
          <w:szCs w:val="23"/>
        </w:rPr>
        <w:t xml:space="preserve">Part I — Rooms Only</w:t>
      </w:r>
    </w:p>
    <w:p>
      <w:pPr>
        <w:spacing w:after="140" w:before="0" w:line="276"/>
      </w:pPr>
      <w:r>
        <w:rPr>
          <w:rFonts w:ascii="Calibri" w:cs="Calibri" w:eastAsia="Calibri" w:hAnsi="Calibri"/>
          <w:sz w:val="23"/>
          <w:szCs w:val="23"/>
        </w:rPr>
        <w:t xml:space="preserve">2. Rooms Only Analysis: 2026, On the Books 2027, Forecast and Rates</w:t>
      </w:r>
    </w:p>
    <w:p>
      <w:pPr>
        <w:spacing w:after="140" w:before="0" w:line="276"/>
      </w:pPr>
      <w:r>
        <w:rPr>
          <w:rFonts w:ascii="Calibri" w:cs="Calibri" w:eastAsia="Calibri" w:hAnsi="Calibri"/>
          <w:sz w:val="23"/>
          <w:szCs w:val="23"/>
        </w:rPr>
        <w:t xml:space="preserve">Part II — Total Revenue</w:t>
      </w:r>
    </w:p>
    <w:p>
      <w:pPr>
        <w:spacing w:after="140" w:before="0" w:line="276"/>
      </w:pPr>
      <w:r>
        <w:rPr>
          <w:rFonts w:ascii="Calibri" w:cs="Calibri" w:eastAsia="Calibri" w:hAnsi="Calibri"/>
          <w:sz w:val="23"/>
          <w:szCs w:val="23"/>
        </w:rPr>
        <w:t xml:space="preserve">3. Starting Point: The 2026 Base</w:t>
      </w:r>
    </w:p>
    <w:p>
      <w:pPr>
        <w:spacing w:after="140" w:before="0" w:line="276"/>
      </w:pPr>
      <w:r>
        <w:rPr>
          <w:rFonts w:ascii="Calibri" w:cs="Calibri" w:eastAsia="Calibri" w:hAnsi="Calibri"/>
          <w:sz w:val="23"/>
          <w:szCs w:val="23"/>
        </w:rPr>
        <w:t xml:space="preserve">4. 2027 Position at a Glance</w:t>
      </w:r>
    </w:p>
    <w:p>
      <w:pPr>
        <w:spacing w:after="140" w:before="0" w:line="276"/>
      </w:pPr>
      <w:r>
        <w:rPr>
          <w:rFonts w:ascii="Calibri" w:cs="Calibri" w:eastAsia="Calibri" w:hAnsi="Calibri"/>
          <w:sz w:val="23"/>
          <w:szCs w:val="23"/>
        </w:rPr>
        <w:t xml:space="preserve">5. Why the Projection Is a Reliable Planning Parameter</w:t>
      </w:r>
    </w:p>
    <w:p>
      <w:pPr>
        <w:spacing w:after="140" w:before="0" w:line="276"/>
      </w:pPr>
      <w:r>
        <w:rPr>
          <w:rFonts w:ascii="Calibri" w:cs="Calibri" w:eastAsia="Calibri" w:hAnsi="Calibri"/>
          <w:sz w:val="23"/>
          <w:szCs w:val="23"/>
        </w:rPr>
        <w:t xml:space="preserve">6. Month-by-Month Analysis (January–December 2027)</w:t>
      </w:r>
    </w:p>
    <w:p>
      <w:pPr>
        <w:spacing w:after="140" w:before="0" w:line="276"/>
      </w:pPr>
      <w:r>
        <w:rPr>
          <w:rFonts w:ascii="Calibri" w:cs="Calibri" w:eastAsia="Calibri" w:hAnsi="Calibri"/>
          <w:sz w:val="23"/>
          <w:szCs w:val="23"/>
        </w:rPr>
        <w:t xml:space="preserve">7. Total Revenue Opportunities</w:t>
      </w:r>
    </w:p>
    <w:p>
      <w:pPr>
        <w:spacing w:after="140" w:before="0" w:line="276"/>
      </w:pPr>
      <w:r>
        <w:rPr>
          <w:rFonts w:ascii="Calibri" w:cs="Calibri" w:eastAsia="Calibri" w:hAnsi="Calibri"/>
          <w:sz w:val="23"/>
          <w:szCs w:val="23"/>
        </w:rPr>
        <w:t xml:space="preserve">8. Risks and Watch List</w:t>
      </w:r>
    </w:p>
    <w:p>
      <w:pPr>
        <w:spacing w:after="140" w:before="0" w:line="276"/>
      </w:pPr>
      <w:r>
        <w:rPr>
          <w:rFonts w:ascii="Calibri" w:cs="Calibri" w:eastAsia="Calibri" w:hAnsi="Calibri"/>
          <w:sz w:val="23"/>
          <w:szCs w:val="23"/>
        </w:rPr>
        <w:t xml:space="preserve">9. Recommended Action Plan (next 90 days)</w:t>
      </w:r>
    </w:p>
    <w:p>
      <w:pPr>
        <w:spacing w:after="140" w:before="0" w:line="276"/>
      </w:pPr>
      <w:r>
        <w:rPr>
          <w:rFonts w:ascii="Calibri" w:cs="Calibri" w:eastAsia="Calibri" w:hAnsi="Calibri"/>
          <w:sz w:val="23"/>
          <w:szCs w:val="23"/>
        </w:rPr>
        <w:t xml:space="preserve">Appendix A — Methodology and Glossary</w:t>
      </w:r>
    </w:p>
    <w:p>
      <w:pPr>
        <w:spacing w:after="140" w:before="0" w:line="276"/>
      </w:pPr>
      <w:r>
        <w:rPr>
          <w:rFonts w:ascii="Calibri" w:cs="Calibri" w:eastAsia="Calibri" w:hAnsi="Calibri"/>
          <w:sz w:val="23"/>
          <w:szCs w:val="23"/>
        </w:rPr>
        <w:t xml:space="preserve">Appendix B — Projection by Method, per Month</w:t>
      </w:r>
    </w:p>
    <w:p>
      <w:pPr>
        <w:spacing w:after="140" w:before="0" w:line="276"/>
      </w:pPr>
      <w:r>
        <w:rPr>
          <w:rFonts w:ascii="Calibri" w:cs="Calibri" w:eastAsia="Calibri" w:hAnsi="Calibri"/>
          <w:sz w:val="23"/>
          <w:szCs w:val="23"/>
        </w:rPr>
        <w:t xml:space="preserve">Appendix C — Data Sources</w:t>
      </w:r>
    </w:p>
    <w:p>
      <w:r>
        <w:br w:type="page"/>
      </w:r>
    </w:p>
    <w:p>
      <w:pPr>
        <w:pStyle w:val="Heading1"/>
        <w:spacing w:after="160" w:before="240"/>
      </w:pPr>
      <w:r>
        <w:rPr>
          <w:rFonts w:ascii="Calibri" w:cs="Calibri" w:eastAsia="Calibri" w:hAnsi="Calibri"/>
        </w:rPr>
        <w:t xml:space="preserve">1. Executive Summary</w:t>
      </w:r>
    </w:p>
    <w:p>
      <w:pPr>
        <w:spacing w:after="120" w:before="0" w:line="276"/>
      </w:pPr>
      <w:r>
        <w:rPr>
          <w:rFonts w:ascii="Calibri" w:cs="Calibri" w:eastAsia="Calibri" w:hAnsi="Calibri"/>
          <w:sz w:val="21"/>
          <w:szCs w:val="21"/>
        </w:rPr>
        <w:t xml:space="preserve">As of 30 September 2026, Corcovado Wilderness Lodge has 2,437 room nights (RN) and $2,253,556 on the books for 2027, 22.3% of the year's capacity. Based on how 2026 actually filled from the same date, Finance projects 2027 at 5,786 RN (52.8% occupancy) and $5,395,951 of total revenue: +17% in room nights and +10% in revenue versus the 2026 close of 4,958 RN and $4,897,469.</w:t>
      </w:r>
    </w:p>
    <w:p>
      <w:pPr>
        <w:spacing w:after="120" w:before="0" w:line="276"/>
      </w:pPr>
      <w:r>
        <w:rPr>
          <w:rFonts w:ascii="Calibri" w:cs="Calibri" w:eastAsia="Calibri" w:hAnsi="Calibri"/>
          <w:sz w:val="21"/>
          <w:szCs w:val="21"/>
        </w:rPr>
        <w:t xml:space="preserve">Rooms Only comes first because it is the core of the business and the line the rate strategy controls directly. 2026 Room Revenue is closing at $2,606,659 on 4,958 RN (ADR $526), against $2,625,131 in the 2026 Financial Forecast (ADR $586). For 2027, $1,213,119 of Room Revenue is on the books and the projection is $2,827,686 (ADR $489), +8% versus 2026.</w:t>
      </w:r>
    </w:p>
    <w:p>
      <w:pPr>
        <w:keepNext/>
        <w:spacing w:after="60" w:before="140"/>
      </w:pPr>
      <w:r>
        <w:rPr>
          <w:rFonts w:ascii="Calibri" w:cs="Calibri" w:eastAsia="Calibri" w:hAnsi="Calibri"/>
          <w:b/>
          <w:bCs/>
          <w:color w:val="1A3A5C"/>
          <w:sz w:val="22"/>
          <w:szCs w:val="22"/>
        </w:rPr>
        <w:t xml:space="preserve">Key messages — Rooms Only</w:t>
      </w:r>
    </w:p>
    <w:p>
      <w:pPr>
        <w:pStyle w:val="ListParagraph"/>
        <w:numPr>
          <w:ilvl w:val="0"/>
          <w:numId w:val="2"/>
        </w:numPr>
        <w:spacing w:after="70" w:line="264"/>
      </w:pPr>
      <w:r>
        <w:rPr>
          <w:rFonts w:ascii="Calibri" w:cs="Calibri" w:eastAsia="Calibri" w:hAnsi="Calibri"/>
          <w:sz w:val="21"/>
          <w:szCs w:val="21"/>
        </w:rPr>
        <w:t xml:space="preserve">2026 sold more rooms but at a lower rate than forecast: +11% in room nights, −10% in ADR, −1% in Room Revenue.</w:t>
      </w:r>
    </w:p>
    <w:p>
      <w:pPr>
        <w:pStyle w:val="ListParagraph"/>
        <w:numPr>
          <w:ilvl w:val="0"/>
          <w:numId w:val="2"/>
        </w:numPr>
        <w:spacing w:after="70" w:line="264"/>
      </w:pPr>
      <w:r>
        <w:rPr>
          <w:rFonts w:ascii="Calibri" w:cs="Calibri" w:eastAsia="Calibri" w:hAnsi="Calibri"/>
          <w:sz w:val="21"/>
          <w:szCs w:val="21"/>
        </w:rPr>
        <w:t xml:space="preserve">Rate is the biggest Rooms opportunity. At the same 2027 volume, Room Revenue would be $2,976,281 at 2026's ADR (+$148,595) and $3,297,221 at the 2026 Forecast ADR (+$469,536).</w:t>
      </w:r>
    </w:p>
    <w:p>
      <w:pPr>
        <w:pStyle w:val="ListParagraph"/>
        <w:numPr>
          <w:ilvl w:val="0"/>
          <w:numId w:val="2"/>
        </w:numPr>
        <w:spacing w:after="70" w:line="264"/>
      </w:pPr>
      <w:r>
        <w:rPr>
          <w:rFonts w:ascii="Calibri" w:cs="Calibri" w:eastAsia="Calibri" w:hAnsi="Calibri"/>
          <w:sz w:val="21"/>
          <w:szCs w:val="21"/>
        </w:rPr>
        <w:t xml:space="preserve">Booked rates are rising: paying reservations for January–April 2027 are 10–16% above the rates booked a year ago and 4–15% above the Budget 2027 net rate.</w:t>
      </w:r>
    </w:p>
    <w:p>
      <w:pPr>
        <w:pStyle w:val="ListParagraph"/>
        <w:numPr>
          <w:ilvl w:val="0"/>
          <w:numId w:val="2"/>
        </w:numPr>
        <w:spacing w:after="70" w:line="264"/>
      </w:pPr>
      <w:r>
        <w:rPr>
          <w:rFonts w:ascii="Calibri" w:cs="Calibri" w:eastAsia="Calibri" w:hAnsi="Calibri"/>
          <w:sz w:val="21"/>
          <w:szCs w:val="21"/>
        </w:rPr>
        <w:t xml:space="preserve">What dilutes ADR is the nights at $0 (comps, house use, FAM, blocks): 14% of 2026 occupied nights, about 634 nights. Valued at the 2026 average paying rate ($672), that is $426,310 a year.</w:t>
      </w:r>
    </w:p>
    <w:p>
      <w:pPr>
        <w:pStyle w:val="ListParagraph"/>
        <w:numPr>
          <w:ilvl w:val="0"/>
          <w:numId w:val="2"/>
        </w:numPr>
        <w:spacing w:after="70" w:line="264"/>
      </w:pPr>
      <w:r>
        <w:rPr>
          <w:rFonts w:ascii="Calibri" w:cs="Calibri" w:eastAsia="Calibri" w:hAnsi="Calibri"/>
          <w:sz w:val="21"/>
          <w:szCs w:val="21"/>
        </w:rPr>
        <w:t xml:space="preserve">Budget 2027 net rates applied to every projected night would give $3,791,180 of Room Revenue, $963,494 above the projection. The budget needs an allowance for $0 nights and group blocks.</w:t>
      </w:r>
    </w:p>
    <w:p>
      <w:pPr>
        <w:keepNext/>
        <w:spacing w:after="60" w:before="140"/>
      </w:pPr>
      <w:r>
        <w:rPr>
          <w:rFonts w:ascii="Calibri" w:cs="Calibri" w:eastAsia="Calibri" w:hAnsi="Calibri"/>
          <w:b/>
          <w:bCs/>
          <w:color w:val="1A3A5C"/>
          <w:sz w:val="22"/>
          <w:szCs w:val="22"/>
        </w:rPr>
        <w:t xml:space="preserve">Key messages — Total Revenue</w:t>
      </w:r>
    </w:p>
    <w:p>
      <w:pPr>
        <w:pStyle w:val="ListParagraph"/>
        <w:numPr>
          <w:ilvl w:val="0"/>
          <w:numId w:val="2"/>
        </w:numPr>
        <w:spacing w:after="70" w:line="264"/>
      </w:pPr>
      <w:r>
        <w:rPr>
          <w:rFonts w:ascii="Calibri" w:cs="Calibri" w:eastAsia="Calibri" w:hAnsi="Calibri"/>
          <w:sz w:val="21"/>
          <w:szCs w:val="21"/>
        </w:rPr>
        <w:t xml:space="preserve">2026 is closing at 4,958 RN and $4,897,469: 111% of the 2026 Financial Forecast in room nights (4,483) but 97% in revenue ($5,040,287), a gap of $142,818 driven by value per night.</w:t>
      </w:r>
    </w:p>
    <w:p>
      <w:pPr>
        <w:pStyle w:val="ListParagraph"/>
        <w:numPr>
          <w:ilvl w:val="0"/>
          <w:numId w:val="2"/>
        </w:numPr>
        <w:spacing w:after="70" w:line="264"/>
      </w:pPr>
      <w:r>
        <w:rPr>
          <w:rFonts w:ascii="Calibri" w:cs="Calibri" w:eastAsia="Calibri" w:hAnsi="Calibri"/>
          <w:sz w:val="21"/>
          <w:szCs w:val="21"/>
        </w:rPr>
        <w:t xml:space="preserve">2027 is starting ahead of 2026. Individual reservations are 1,283 RN versus 1,035 a year ago (pace 124%), plus 1,154 RN of group blocks.</w:t>
      </w:r>
    </w:p>
    <w:p>
      <w:pPr>
        <w:pStyle w:val="ListParagraph"/>
        <w:numPr>
          <w:ilvl w:val="0"/>
          <w:numId w:val="2"/>
        </w:numPr>
        <w:spacing w:after="70" w:line="264"/>
      </w:pPr>
      <w:r>
        <w:rPr>
          <w:rFonts w:ascii="Calibri" w:cs="Calibri" w:eastAsia="Calibri" w:hAnsi="Calibri"/>
          <w:sz w:val="21"/>
          <w:szCs w:val="21"/>
        </w:rPr>
        <w:t xml:space="preserve">The first quarter is strong. January–March is projected at 83–91% occupancy, with 54–76% of each month already secured and booked rates 14–16% above the rates booked a year ago.</w:t>
      </w:r>
    </w:p>
    <w:p>
      <w:pPr>
        <w:pStyle w:val="ListParagraph"/>
        <w:numPr>
          <w:ilvl w:val="0"/>
          <w:numId w:val="2"/>
        </w:numPr>
        <w:spacing w:after="70" w:line="264"/>
      </w:pPr>
      <w:r>
        <w:rPr>
          <w:rFonts w:ascii="Calibri" w:cs="Calibri" w:eastAsia="Calibri" w:hAnsi="Calibri"/>
          <w:sz w:val="21"/>
          <w:szCs w:val="21"/>
        </w:rPr>
        <w:t xml:space="preserve">The projection is achievable with known performance. 3,349 RN remain to be booked: 85% of the 3,923 RN that 2026 picked up from the same date.</w:t>
      </w:r>
    </w:p>
    <w:p>
      <w:pPr>
        <w:pStyle w:val="ListParagraph"/>
        <w:numPr>
          <w:ilvl w:val="0"/>
          <w:numId w:val="2"/>
        </w:numPr>
        <w:spacing w:after="70" w:line="264"/>
      </w:pPr>
      <w:r>
        <w:rPr>
          <w:rFonts w:ascii="Calibri" w:cs="Calibri" w:eastAsia="Calibri" w:hAnsi="Calibri"/>
          <w:sz w:val="21"/>
          <w:szCs w:val="21"/>
        </w:rPr>
        <w:t xml:space="preserve">The projection is conservative. Of three standard methods, the one used is the lowest: 5,786 RN, versus 6,212 (add pickup) and 8,498 (multiply by pace).</w:t>
      </w:r>
    </w:p>
    <w:p>
      <w:pPr>
        <w:pStyle w:val="ListParagraph"/>
        <w:numPr>
          <w:ilvl w:val="0"/>
          <w:numId w:val="2"/>
        </w:numPr>
        <w:spacing w:after="70" w:line="264"/>
      </w:pPr>
      <w:r>
        <w:rPr>
          <w:rFonts w:ascii="Calibri" w:cs="Calibri" w:eastAsia="Calibri" w:hAnsi="Calibri"/>
          <w:sz w:val="21"/>
          <w:szCs w:val="21"/>
        </w:rPr>
        <w:t xml:space="preserve">Revenue grows less than volume: $933 per room night versus $988 in 2026. At 2026's value per night, 2027 revenue would be $5,648,801 (+$252,850).</w:t>
      </w:r>
    </w:p>
    <w:p>
      <w:pPr>
        <w:pStyle w:val="ListParagraph"/>
        <w:numPr>
          <w:ilvl w:val="0"/>
          <w:numId w:val="2"/>
        </w:numPr>
        <w:spacing w:after="70" w:line="264"/>
      </w:pPr>
      <w:r>
        <w:rPr>
          <w:rFonts w:ascii="Calibri" w:cs="Calibri" w:eastAsia="Calibri" w:hAnsi="Calibri"/>
          <w:sz w:val="21"/>
          <w:szCs w:val="21"/>
        </w:rPr>
        <w:t xml:space="preserve">Budget 2027 room rates hold up: January–April bookings in Opera are 4–15% above the budget net rate. The risk is the 14% of nights sold at $0 in 2026.</w:t>
      </w:r>
    </w:p>
    <w:p>
      <w:pPr>
        <w:pStyle w:val="ListParagraph"/>
        <w:numPr>
          <w:ilvl w:val="0"/>
          <w:numId w:val="2"/>
        </w:numPr>
        <w:spacing w:after="70" w:line="264"/>
      </w:pPr>
      <w:r>
        <w:rPr>
          <w:rFonts w:ascii="Calibri" w:cs="Calibri" w:eastAsia="Calibri" w:hAnsi="Calibri"/>
          <w:sz w:val="21"/>
          <w:szCs w:val="21"/>
        </w:rPr>
        <w:t xml:space="preserve">The green season and the end of the year need action now. May, June, August and September are under 45% projected occupancy. For November and December there are no individual reservations yet, only group blocks.</w:t>
      </w:r>
    </w:p>
    <w:p>
      <w:pPr>
        <w:pStyle w:val="ListParagraph"/>
        <w:numPr>
          <w:ilvl w:val="0"/>
          <w:numId w:val="2"/>
        </w:numPr>
        <w:spacing w:after="70" w:line="264"/>
      </w:pPr>
      <w:r>
        <w:rPr>
          <w:rFonts w:ascii="Calibri" w:cs="Calibri" w:eastAsia="Calibri" w:hAnsi="Calibri"/>
          <w:sz w:val="21"/>
          <w:szCs w:val="21"/>
        </w:rPr>
        <w:t xml:space="preserve">Booking pace has slowed in the last two weeks: 72 RN were booked for 2027, versus 102 in the same window last year (−29%).</w:t>
      </w:r>
    </w:p>
    <w:p>
      <w:pPr>
        <w:keepNext/>
        <w:spacing w:after="60" w:before="140"/>
      </w:pPr>
      <w:r>
        <w:rPr>
          <w:rFonts w:ascii="Calibri" w:cs="Calibri" w:eastAsia="Calibri" w:hAnsi="Calibri"/>
          <w:b/>
          <w:bCs/>
          <w:color w:val="1A3A5C"/>
          <w:sz w:val="22"/>
          <w:szCs w:val="22"/>
        </w:rPr>
        <w:t xml:space="preserve">Headline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8"/>
                <w:szCs w:val="18"/>
              </w:rPr>
              <w:t xml:space="preserve">Indicator</w:t>
            </w:r>
          </w:p>
        </w:tc>
        <w:tc>
          <w:tcPr>
            <w:tcW w:type="dxa" w:w="16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8"/>
                <w:szCs w:val="18"/>
              </w:rPr>
              <w:t xml:space="preserve">2026 close</w:t>
            </w:r>
          </w:p>
        </w:tc>
        <w:tc>
          <w:tcPr>
            <w:tcW w:type="dxa" w:w="16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8"/>
                <w:szCs w:val="18"/>
              </w:rPr>
              <w:t xml:space="preserve">2027 on the books</w:t>
            </w:r>
          </w:p>
        </w:tc>
        <w:tc>
          <w:tcPr>
            <w:tcW w:type="dxa" w:w="16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8"/>
                <w:szCs w:val="18"/>
              </w:rPr>
              <w:t xml:space="preserve">2027 projection</w:t>
            </w:r>
          </w:p>
        </w:tc>
        <w:tc>
          <w:tcPr>
            <w:tcW w:type="dxa" w:w="16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8"/>
                <w:szCs w:val="18"/>
              </w:rPr>
              <w:t xml:space="preserve">2027 vs 2026</w:t>
            </w:r>
          </w:p>
        </w:tc>
      </w:tr>
      <w:tr>
        <w:trPr>
          <w:cantSplit/>
        </w:trPr>
        <w:tc>
          <w:tcPr>
            <w:tcW w:type="dxa" w:w="2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8"/>
                <w:szCs w:val="18"/>
              </w:rPr>
              <w:t xml:space="preserve">Room nights</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4,958</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2,437</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8"/>
                <w:szCs w:val="18"/>
              </w:rPr>
              <w:t xml:space="preserve">5,786</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+17%</w:t>
            </w:r>
          </w:p>
        </w:tc>
      </w:tr>
      <w:tr>
        <w:trPr>
          <w:cantSplit/>
        </w:trPr>
        <w:tc>
          <w:tcPr>
            <w:tcW w:type="dxa" w:w="2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8"/>
                <w:szCs w:val="18"/>
              </w:rPr>
              <w:t xml:space="preserve">Occupancy</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52.2%</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22.3%</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8"/>
                <w:szCs w:val="18"/>
              </w:rPr>
              <w:t xml:space="preserve">52.8%</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0.7 pts</w:t>
            </w:r>
          </w:p>
        </w:tc>
      </w:tr>
      <w:tr>
        <w:trPr>
          <w:cantSplit/>
        </w:trPr>
        <w:tc>
          <w:tcPr>
            <w:tcW w:type="dxa" w:w="2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8"/>
                <w:szCs w:val="18"/>
              </w:rPr>
              <w:t xml:space="preserve">Room Revenue (Rooms Only)</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$2,606,659</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$1,213,119</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8"/>
                <w:szCs w:val="18"/>
              </w:rPr>
              <w:t xml:space="preserve">$2,827,686</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+8%</w:t>
            </w:r>
          </w:p>
        </w:tc>
      </w:tr>
      <w:tr>
        <w:trPr>
          <w:cantSplit/>
        </w:trPr>
        <w:tc>
          <w:tcPr>
            <w:tcW w:type="dxa" w:w="2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8"/>
                <w:szCs w:val="18"/>
              </w:rPr>
              <w:t xml:space="preserve">Rooms ADR</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$526</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$498</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8"/>
                <w:szCs w:val="18"/>
              </w:rPr>
              <w:t xml:space="preserve">$489</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−7%</w:t>
            </w:r>
          </w:p>
        </w:tc>
      </w:tr>
      <w:tr>
        <w:trPr>
          <w:cantSplit/>
        </w:trPr>
        <w:tc>
          <w:tcPr>
            <w:tcW w:type="dxa" w:w="2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8"/>
                <w:szCs w:val="18"/>
              </w:rPr>
              <w:t xml:space="preserve">Total revenue</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$4,897,469</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$2,253,556</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8"/>
                <w:szCs w:val="18"/>
              </w:rPr>
              <w:t xml:space="preserve">$5,395,951</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+10%</w:t>
            </w:r>
          </w:p>
        </w:tc>
      </w:tr>
      <w:tr>
        <w:trPr>
          <w:cantSplit/>
        </w:trPr>
        <w:tc>
          <w:tcPr>
            <w:tcW w:type="dxa" w:w="2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8"/>
                <w:szCs w:val="18"/>
              </w:rPr>
              <w:t xml:space="preserve">Revenue per room night</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$988</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$925</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8"/>
                <w:szCs w:val="18"/>
              </w:rPr>
              <w:t xml:space="preserve">$933</w:t>
            </w:r>
          </w:p>
        </w:tc>
        <w:tc>
          <w:tcPr>
            <w:tcW w:type="dxa" w:w="16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8"/>
                <w:szCs w:val="18"/>
              </w:rPr>
              <w:t xml:space="preserve">−6%</w:t>
            </w:r>
          </w:p>
        </w:tc>
      </w:tr>
      <w:tr>
        <w:trPr>
          <w:cantSplit/>
        </w:trPr>
        <w:tc>
          <w:tcPr>
            <w:tcW w:type="dxa" w:w="2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8"/>
                <w:szCs w:val="18"/>
              </w:rPr>
              <w:t xml:space="preserve">Share of projection secured</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8"/>
                <w:szCs w:val="18"/>
              </w:rPr>
              <w:t xml:space="preserve">—</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8"/>
                <w:szCs w:val="18"/>
              </w:rPr>
              <w:t xml:space="preserve">—</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8"/>
                <w:szCs w:val="18"/>
              </w:rPr>
              <w:t xml:space="preserve">42%</w:t>
            </w:r>
          </w:p>
        </w:tc>
        <w:tc>
          <w:tcPr>
            <w:tcW w:type="dxa" w:w="16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8"/>
                <w:szCs w:val="18"/>
              </w:rPr>
              <w:t xml:space="preserve">—</w:t>
            </w:r>
          </w:p>
        </w:tc>
      </w:tr>
    </w:tbl>
    <w:p>
      <w:pPr>
        <w:spacing w:after="120" w:before="60" w:line="276"/>
      </w:pPr>
      <w:r>
        <w:rPr>
          <w:rFonts w:ascii="Calibri" w:cs="Calibri" w:eastAsia="Calibri" w:hAnsi="Calibri"/>
          <w:i/>
          <w:iCs/>
          <w:color w:val="4A5568"/>
          <w:sz w:val="16"/>
          <w:szCs w:val="16"/>
        </w:rPr>
        <w:t xml:space="preserve">2026 close: eight actual months (January–August) plus the September, November and December projections; October is closed. 2027 room-night capacity is 10,950.</w:t>
      </w:r>
    </w:p>
    <w:p>
      <w:pPr>
        <w:keepNext/>
        <w:spacing w:after="60" w:before="140"/>
      </w:pPr>
      <w:r>
        <w:rPr>
          <w:rFonts w:ascii="Calibri" w:cs="Calibri" w:eastAsia="Calibri" w:hAnsi="Calibri"/>
          <w:b/>
          <w:bCs/>
          <w:color w:val="1A3A5C"/>
          <w:sz w:val="22"/>
          <w:szCs w:val="22"/>
        </w:rPr>
        <w:t xml:space="preserve">What we ask of the Board</w:t>
      </w:r>
    </w:p>
    <w:p>
      <w:pPr>
        <w:pStyle w:val="ListParagraph"/>
        <w:numPr>
          <w:ilvl w:val="0"/>
          <w:numId w:val="3"/>
        </w:numPr>
        <w:spacing w:after="90" w:line="264"/>
      </w:pPr>
      <w:r>
        <w:rPr>
          <w:rFonts w:ascii="Calibri" w:cs="Calibri" w:eastAsia="Calibri" w:hAnsi="Calibri"/>
          <w:sz w:val="21"/>
          <w:szCs w:val="21"/>
        </w:rPr>
        <w:t xml:space="preserve">Endorse the projection as the planning parameter for the 2027 budget and cash-flow plan, to be updated monthly with each new Opera snapshot.</w:t>
      </w:r>
    </w:p>
    <w:p>
      <w:pPr>
        <w:pStyle w:val="ListParagraph"/>
        <w:numPr>
          <w:ilvl w:val="0"/>
          <w:numId w:val="3"/>
        </w:numPr>
        <w:spacing w:after="90" w:line="264"/>
      </w:pPr>
      <w:r>
        <w:rPr>
          <w:rFonts w:ascii="Calibri" w:cs="Calibri" w:eastAsia="Calibri" w:hAnsi="Calibri"/>
          <w:sz w:val="21"/>
          <w:szCs w:val="21"/>
        </w:rPr>
        <w:t xml:space="preserve">Support a Rooms rate strategy that protects ADR in the high season (January–April) and reduces nights sold at $0, rather than discounting to fill.</w:t>
      </w:r>
    </w:p>
    <w:p>
      <w:pPr>
        <w:pStyle w:val="ListParagraph"/>
        <w:numPr>
          <w:ilvl w:val="0"/>
          <w:numId w:val="3"/>
        </w:numPr>
        <w:spacing w:after="90" w:line="264"/>
      </w:pPr>
      <w:r>
        <w:rPr>
          <w:rFonts w:ascii="Calibri" w:cs="Calibri" w:eastAsia="Calibri" w:hAnsi="Calibri"/>
          <w:sz w:val="21"/>
          <w:szCs w:val="21"/>
        </w:rPr>
        <w:t xml:space="preserve">Approve a commercial plan for the need periods (May–June, August–September and November) to be launched in Q4 2026.</w:t>
      </w:r>
    </w:p>
    <w:p>
      <w:r>
        <w:br w:type="page"/>
      </w:r>
    </w:p>
    <w:p>
      <w:pPr>
        <w:spacing w:after="60" w:before="0" w:line="276"/>
      </w:pPr>
      <w:r>
        <w:rPr>
          <w:rFonts w:ascii="Calibri" w:cs="Calibri" w:eastAsia="Calibri" w:hAnsi="Calibri"/>
          <w:b/>
          <w:bCs/>
          <w:color w:val="2D5A9E"/>
          <w:sz w:val="26"/>
          <w:szCs w:val="26"/>
        </w:rPr>
        <w:t xml:space="preserve">PART I — ROOMS ONLY</w:t>
      </w:r>
    </w:p>
    <w:p>
      <w:pPr>
        <w:pStyle w:val="Heading1"/>
        <w:spacing w:after="160" w:before="240"/>
      </w:pPr>
      <w:r>
        <w:rPr>
          <w:rFonts w:ascii="Calibri" w:cs="Calibri" w:eastAsia="Calibri" w:hAnsi="Calibri"/>
        </w:rPr>
        <w:t xml:space="preserve">2. Rooms Only Analysis: 2026, On the Books 2027, Forecast and Rates</w:t>
      </w:r>
    </w:p>
    <w:p>
      <w:pPr>
        <w:spacing w:after="120" w:before="0" w:line="276"/>
      </w:pPr>
      <w:r>
        <w:rPr>
          <w:rFonts w:ascii="Calibri" w:cs="Calibri" w:eastAsia="Calibri" w:hAnsi="Calibri"/>
          <w:sz w:val="21"/>
          <w:szCs w:val="21"/>
        </w:rPr>
        <w:t xml:space="preserve">Room Revenue as posted in Opera's History &amp; Forecast (Rooms Only report): room nights, Room Revenue and ADR, without food, beverage, activities or on-site spend. Everything in this part is Rooms Only; Part II repeats the analysis on Total Revenue.</w:t>
      </w:r>
    </w:p>
    <w:p>
      <w:pPr>
        <w:pStyle w:val="Heading2"/>
        <w:keepNext/>
        <w:spacing w:after="100" w:before="240"/>
      </w:pPr>
      <w:r>
        <w:rPr>
          <w:rFonts w:ascii="Calibri" w:cs="Calibri" w:eastAsia="Calibri" w:hAnsi="Calibri"/>
        </w:rPr>
        <w:t xml:space="preserve">2.1 2026 Rooms: actual versus the 2026 Financial Forecast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60"/>
        <w:gridCol w:w="680"/>
        <w:gridCol w:w="700"/>
        <w:gridCol w:w="760"/>
        <w:gridCol w:w="1100"/>
        <w:gridCol w:w="1100"/>
        <w:gridCol w:w="760"/>
        <w:gridCol w:w="760"/>
        <w:gridCol w:w="800"/>
        <w:gridCol w:w="840"/>
      </w:tblGrid>
      <w:tr>
        <w:trPr>
          <w:tblHeader/>
        </w:trPr>
        <w:tc>
          <w:tcPr>
            <w:tcW w:type="dxa" w:w="8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Month</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Status</w:t>
            </w:r>
          </w:p>
        </w:tc>
        <w:tc>
          <w:tcPr>
            <w:tcW w:type="dxa" w:w="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RN</w:t>
            </w:r>
          </w:p>
        </w:tc>
        <w:tc>
          <w:tcPr>
            <w:tcW w:type="dxa" w:w="7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Fcst RN</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Room Revenue</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Fcst Room Rev.</w:t>
            </w:r>
          </w:p>
        </w:tc>
        <w:tc>
          <w:tcPr>
            <w:tcW w:type="dxa" w:w="7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vs Fcst</w:t>
            </w:r>
          </w:p>
        </w:tc>
        <w:tc>
          <w:tcPr>
            <w:tcW w:type="dxa" w:w="7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ADR</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Fcst ADR</w:t>
            </w:r>
          </w:p>
        </w:tc>
        <w:tc>
          <w:tcPr>
            <w:tcW w:type="dxa" w:w="84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ADR vs Fcst</w:t>
            </w:r>
          </w:p>
        </w:tc>
      </w:tr>
      <w:tr>
        <w:trPr>
          <w:cantSplit/>
        </w:trPr>
        <w:tc>
          <w:tcPr>
            <w:tcW w:type="dxa" w:w="8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Jan 2026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688</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637</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$420,485</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$427,259</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$611</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$671</w:t>
            </w:r>
          </w:p>
        </w:tc>
        <w:tc>
          <w:tcPr>
            <w:tcW w:type="dxa" w:w="8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−9%</w:t>
            </w:r>
          </w:p>
        </w:tc>
      </w:tr>
      <w:tr>
        <w:trPr>
          <w:cantSplit/>
        </w:trPr>
        <w:tc>
          <w:tcPr>
            <w:tcW w:type="dxa" w:w="8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Feb 2026</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684</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668</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$414,152</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$416,163</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$605</w:t>
            </w:r>
          </w:p>
        </w:tc>
        <w:tc>
          <w:tcPr>
            <w:tcW w:type="dxa" w:w="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$623</w:t>
            </w:r>
          </w:p>
        </w:tc>
        <w:tc>
          <w:tcPr>
            <w:tcW w:type="dxa" w:w="8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−3%</w:t>
            </w:r>
          </w:p>
        </w:tc>
      </w:tr>
      <w:tr>
        <w:trPr>
          <w:cantSplit/>
        </w:trPr>
        <w:tc>
          <w:tcPr>
            <w:tcW w:type="dxa" w:w="8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Mar 2026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721</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691</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$425,210</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$423,980</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$590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$614</w:t>
            </w:r>
          </w:p>
        </w:tc>
        <w:tc>
          <w:tcPr>
            <w:tcW w:type="dxa" w:w="8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−4%</w:t>
            </w:r>
          </w:p>
        </w:tc>
      </w:tr>
      <w:tr>
        <w:trPr>
          <w:cantSplit/>
        </w:trPr>
        <w:tc>
          <w:tcPr>
            <w:tcW w:type="dxa" w:w="8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Apr 2026</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503</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473</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$341,492</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$319,273</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$679</w:t>
            </w:r>
          </w:p>
        </w:tc>
        <w:tc>
          <w:tcPr>
            <w:tcW w:type="dxa" w:w="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$675</w:t>
            </w:r>
          </w:p>
        </w:tc>
        <w:tc>
          <w:tcPr>
            <w:tcW w:type="dxa" w:w="8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5"/>
                <w:szCs w:val="15"/>
              </w:rPr>
              <w:t xml:space="preserve">+1%</w:t>
            </w:r>
          </w:p>
        </w:tc>
      </w:tr>
      <w:tr>
        <w:trPr>
          <w:cantSplit/>
        </w:trPr>
        <w:tc>
          <w:tcPr>
            <w:tcW w:type="dxa" w:w="8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May 2026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256</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223</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$94,683</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$119,456</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−21%</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$536</w:t>
            </w:r>
          </w:p>
        </w:tc>
        <w:tc>
          <w:tcPr>
            <w:tcW w:type="dxa" w:w="8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−31%</w:t>
            </w:r>
          </w:p>
        </w:tc>
      </w:tr>
      <w:tr>
        <w:trPr>
          <w:cantSplit/>
        </w:trPr>
        <w:tc>
          <w:tcPr>
            <w:tcW w:type="dxa" w:w="8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Jun 2026</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284</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162</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$78,910</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$79,311</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$278</w:t>
            </w:r>
          </w:p>
        </w:tc>
        <w:tc>
          <w:tcPr>
            <w:tcW w:type="dxa" w:w="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$490</w:t>
            </w:r>
          </w:p>
        </w:tc>
        <w:tc>
          <w:tcPr>
            <w:tcW w:type="dxa" w:w="8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−43%</w:t>
            </w:r>
          </w:p>
        </w:tc>
      </w:tr>
      <w:tr>
        <w:trPr>
          <w:cantSplit/>
        </w:trPr>
        <w:tc>
          <w:tcPr>
            <w:tcW w:type="dxa" w:w="8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Jul 2026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267</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233</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$105,428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$105,358</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$395</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$452</w:t>
            </w:r>
          </w:p>
        </w:tc>
        <w:tc>
          <w:tcPr>
            <w:tcW w:type="dxa" w:w="8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−13%</w:t>
            </w:r>
          </w:p>
        </w:tc>
      </w:tr>
      <w:tr>
        <w:trPr>
          <w:cantSplit/>
        </w:trPr>
        <w:tc>
          <w:tcPr>
            <w:tcW w:type="dxa" w:w="8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Aug 2026</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292</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254</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$130,905</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$130,634</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$448</w:t>
            </w:r>
          </w:p>
        </w:tc>
        <w:tc>
          <w:tcPr>
            <w:tcW w:type="dxa" w:w="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$514</w:t>
            </w:r>
          </w:p>
        </w:tc>
        <w:tc>
          <w:tcPr>
            <w:tcW w:type="dxa" w:w="8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−13%</w:t>
            </w:r>
          </w:p>
        </w:tc>
      </w:tr>
      <w:tr>
        <w:trPr>
          <w:cantSplit/>
        </w:trPr>
        <w:tc>
          <w:tcPr>
            <w:tcW w:type="dxa" w:w="8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Sep 2026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Open</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229</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$19,410</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$20,000</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$85</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$455</w:t>
            </w:r>
          </w:p>
        </w:tc>
        <w:tc>
          <w:tcPr>
            <w:tcW w:type="dxa" w:w="8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−81%</w:t>
            </w:r>
          </w:p>
        </w:tc>
      </w:tr>
      <w:tr>
        <w:trPr>
          <w:cantSplit/>
        </w:trPr>
        <w:tc>
          <w:tcPr>
            <w:tcW w:type="dxa" w:w="8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Oct 2026</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Closed</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8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r>
      <w:tr>
        <w:trPr>
          <w:cantSplit/>
        </w:trPr>
        <w:tc>
          <w:tcPr>
            <w:tcW w:type="dxa" w:w="8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Nov 2026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Open</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407</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375</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$179,408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$134,850</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+33%</w:t>
            </w:r>
          </w:p>
        </w:tc>
        <w:tc>
          <w:tcPr>
            <w:tcW w:type="dxa" w:w="7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$441</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$360</w:t>
            </w:r>
          </w:p>
        </w:tc>
        <w:tc>
          <w:tcPr>
            <w:tcW w:type="dxa" w:w="8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5"/>
                <w:szCs w:val="15"/>
              </w:rPr>
              <w:t xml:space="preserve">+23%</w:t>
            </w:r>
          </w:p>
        </w:tc>
      </w:tr>
      <w:tr>
        <w:trPr>
          <w:cantSplit/>
        </w:trPr>
        <w:tc>
          <w:tcPr>
            <w:tcW w:type="dxa" w:w="8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Dec 2026</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Open</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627</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723</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$396,577</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$448,849</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−12%</w:t>
            </w:r>
          </w:p>
        </w:tc>
        <w:tc>
          <w:tcPr>
            <w:tcW w:type="dxa" w:w="7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$632</w:t>
            </w:r>
          </w:p>
        </w:tc>
        <w:tc>
          <w:tcPr>
            <w:tcW w:type="dxa" w:w="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$621</w:t>
            </w:r>
          </w:p>
        </w:tc>
        <w:tc>
          <w:tcPr>
            <w:tcW w:type="dxa" w:w="8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5"/>
                <w:szCs w:val="15"/>
              </w:rPr>
              <w:t xml:space="preserve">+2%</w:t>
            </w:r>
          </w:p>
        </w:tc>
      </w:tr>
      <w:tr>
        <w:trPr>
          <w:cantSplit/>
        </w:trPr>
        <w:tc>
          <w:tcPr>
            <w:tcW w:type="dxa" w:w="8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5"/>
                <w:szCs w:val="15"/>
              </w:rPr>
              <w:t xml:space="preserve">Total</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5"/>
                <w:szCs w:val="15"/>
              </w:rPr>
              <w:t xml:space="preserve"/>
            </w:r>
          </w:p>
        </w:tc>
        <w:tc>
          <w:tcPr>
            <w:tcW w:type="dxa" w:w="7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4,958</w:t>
            </w:r>
          </w:p>
        </w:tc>
        <w:tc>
          <w:tcPr>
            <w:tcW w:type="dxa" w:w="7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4,483</w:t>
            </w:r>
          </w:p>
        </w:tc>
        <w:tc>
          <w:tcPr>
            <w:tcW w:type="dxa" w:w="11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$2,606,659</w:t>
            </w:r>
          </w:p>
        </w:tc>
        <w:tc>
          <w:tcPr>
            <w:tcW w:type="dxa" w:w="11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$2,625,131</w:t>
            </w:r>
          </w:p>
        </w:tc>
        <w:tc>
          <w:tcPr>
            <w:tcW w:type="dxa" w:w="7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w:t>
            </w:r>
          </w:p>
        </w:tc>
        <w:tc>
          <w:tcPr>
            <w:tcW w:type="dxa" w:w="7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$526</w:t>
            </w:r>
          </w:p>
        </w:tc>
        <w:tc>
          <w:tcPr>
            <w:tcW w:type="dxa" w:w="8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$586</w:t>
            </w:r>
          </w:p>
        </w:tc>
        <w:tc>
          <w:tcPr>
            <w:tcW w:type="dxa" w:w="84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−10%</w:t>
            </w:r>
          </w:p>
        </w:tc>
      </w:tr>
    </w:tbl>
    <w:p>
      <w:pPr>
        <w:spacing w:after="120" w:before="60" w:line="276"/>
      </w:pPr>
      <w:r>
        <w:rPr>
          <w:rFonts w:ascii="Calibri" w:cs="Calibri" w:eastAsia="Calibri" w:hAnsi="Calibri"/>
          <w:i/>
          <w:iCs/>
          <w:color w:val="4A5568"/>
          <w:sz w:val="15"/>
          <w:szCs w:val="15"/>
        </w:rPr>
        <w:t xml:space="preserve">Fcst = 2026 Financial Forecast, Room Revenue line (January–March actual, April–December forecast). September, November and December 2026 are still open: their figures are the 2026 projection.</w:t>
      </w:r>
    </w:p>
    <w:p>
      <w:pPr>
        <w:pStyle w:val="ListParagraph"/>
        <w:numPr>
          <w:ilvl w:val="0"/>
          <w:numId w:val="2"/>
        </w:numPr>
        <w:spacing w:after="70" w:line="264"/>
      </w:pPr>
      <w:r>
        <w:rPr>
          <w:rFonts w:ascii="Calibri" w:cs="Calibri" w:eastAsia="Calibri" w:hAnsi="Calibri"/>
          <w:sz w:val="21"/>
          <w:szCs w:val="21"/>
        </w:rPr>
        <w:t xml:space="preserve">Volume beat the forecast in every month from January to November, but ADR fell short in 7 of the 8 closed months. The gap is largest in the green season: May −31%, June −43%, July −13%.</w:t>
      </w:r>
    </w:p>
    <w:p>
      <w:pPr>
        <w:pStyle w:val="ListParagraph"/>
        <w:numPr>
          <w:ilvl w:val="0"/>
          <w:numId w:val="2"/>
        </w:numPr>
        <w:spacing w:after="70" w:line="264"/>
      </w:pPr>
      <w:r>
        <w:rPr>
          <w:rFonts w:ascii="Calibri" w:cs="Calibri" w:eastAsia="Calibri" w:hAnsi="Calibri"/>
          <w:sz w:val="21"/>
          <w:szCs w:val="21"/>
        </w:rPr>
        <w:t xml:space="preserve">The high season held its rate better: April was in line with the forecast ADR and January–March were 3–9% below it.</w:t>
      </w:r>
    </w:p>
    <w:p>
      <w:pPr>
        <w:pStyle w:val="ListParagraph"/>
        <w:numPr>
          <w:ilvl w:val="0"/>
          <w:numId w:val="2"/>
        </w:numPr>
        <w:spacing w:after="70" w:line="264"/>
      </w:pPr>
      <w:r>
        <w:rPr>
          <w:rFonts w:ascii="Calibri" w:cs="Calibri" w:eastAsia="Calibri" w:hAnsi="Calibri"/>
          <w:sz w:val="21"/>
          <w:szCs w:val="21"/>
        </w:rPr>
        <w:t xml:space="preserve">September 2026 shows $85 of Room Revenue per night (229 RN, $19,410). This looks like a posting issue in Opera and should be reviewed before the month closes.</w:t>
      </w:r>
    </w:p>
    <w:p>
      <w:pPr>
        <w:pStyle w:val="Heading2"/>
        <w:keepNext/>
        <w:spacing w:after="100" w:before="240"/>
      </w:pPr>
      <w:r>
        <w:rPr>
          <w:rFonts w:ascii="Calibri" w:cs="Calibri" w:eastAsia="Calibri" w:hAnsi="Calibri"/>
        </w:rPr>
        <w:t xml:space="preserve">2.2 2027 Rooms on the books versus 2026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60"/>
        <w:gridCol w:w="620"/>
        <w:gridCol w:w="900"/>
        <w:gridCol w:w="640"/>
        <w:gridCol w:w="620"/>
        <w:gridCol w:w="620"/>
        <w:gridCol w:w="680"/>
        <w:gridCol w:w="900"/>
        <w:gridCol w:w="640"/>
        <w:gridCol w:w="660"/>
        <w:gridCol w:w="960"/>
        <w:gridCol w:w="680"/>
        <w:gridCol w:w="680"/>
      </w:tblGrid>
      <w:tr>
        <w:trPr>
          <w:tblHeader/>
        </w:trPr>
        <w:tc>
          <w:tcPr>
            <w:tcW w:type="dxa" w:w="5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Month</w:t>
            </w:r>
          </w:p>
        </w:tc>
        <w:tc>
          <w:tcPr>
            <w:tcW w:type="dxa" w:w="6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OTB RN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OTB Room Rev.</w:t>
            </w:r>
          </w:p>
        </w:tc>
        <w:tc>
          <w:tcPr>
            <w:tcW w:type="dxa" w:w="64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OTB ADR</w:t>
            </w:r>
          </w:p>
        </w:tc>
        <w:tc>
          <w:tcPr>
            <w:tcW w:type="dxa" w:w="6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STLY RN</w:t>
            </w:r>
          </w:p>
        </w:tc>
        <w:tc>
          <w:tcPr>
            <w:tcW w:type="dxa" w:w="6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Pace</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2026 RN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2026 Room Rev.</w:t>
            </w:r>
          </w:p>
        </w:tc>
        <w:tc>
          <w:tcPr>
            <w:tcW w:type="dxa" w:w="64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2026 ADR</w:t>
            </w:r>
          </w:p>
        </w:tc>
        <w:tc>
          <w:tcPr>
            <w:tcW w:type="dxa" w:w="6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Proj. RN</w:t>
            </w:r>
          </w:p>
        </w:tc>
        <w:tc>
          <w:tcPr>
            <w:tcW w:type="dxa" w:w="9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Proj. Room Rev.</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Proj. ADR</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4"/>
                <w:szCs w:val="14"/>
              </w:rPr>
              <w:t xml:space="preserve">vs 2026</w:t>
            </w:r>
          </w:p>
        </w:tc>
      </w:tr>
      <w:tr>
        <w:trPr>
          <w:cantSplit/>
        </w:trPr>
        <w:tc>
          <w:tcPr>
            <w:tcW w:type="dxa" w:w="5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Jan</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590</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$379,561</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$643</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410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117%</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688</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$420,485</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$611</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772</w:t>
            </w:r>
          </w:p>
        </w:tc>
        <w:tc>
          <w:tcPr>
            <w:tcW w:type="dxa" w:w="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$490,653</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$636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+17%</w:t>
            </w:r>
          </w:p>
        </w:tc>
      </w:tr>
      <w:tr>
        <w:trPr>
          <w:cantSplit/>
        </w:trPr>
        <w:tc>
          <w:tcPr>
            <w:tcW w:type="dxa" w:w="5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Feb</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550</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$319,153</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$580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218</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177%</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684</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$414,152</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$605</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767</w:t>
            </w:r>
          </w:p>
        </w:tc>
        <w:tc>
          <w:tcPr>
            <w:tcW w:type="dxa" w:w="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$450,705</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$587</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+9%</w:t>
            </w:r>
          </w:p>
        </w:tc>
      </w:tr>
      <w:tr>
        <w:trPr>
          <w:cantSplit/>
        </w:trPr>
        <w:tc>
          <w:tcPr>
            <w:tcW w:type="dxa" w:w="5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Mar</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428</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$227,926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$533</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202</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112%</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721</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$425,210</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$590</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786</w:t>
            </w:r>
          </w:p>
        </w:tc>
        <w:tc>
          <w:tcPr>
            <w:tcW w:type="dxa" w:w="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$438,986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$559</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w:t>
            </w:r>
          </w:p>
        </w:tc>
      </w:tr>
      <w:tr>
        <w:trPr>
          <w:cantSplit/>
        </w:trPr>
        <w:tc>
          <w:tcPr>
            <w:tcW w:type="dxa" w:w="5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Apr</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172</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$86,679</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$504</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72</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151%</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503</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$341,492</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$679</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551</w:t>
            </w:r>
          </w:p>
        </w:tc>
        <w:tc>
          <w:tcPr>
            <w:tcW w:type="dxa" w:w="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$343,950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$624</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w:t>
            </w:r>
          </w:p>
        </w:tc>
      </w:tr>
      <w:tr>
        <w:trPr>
          <w:cantSplit/>
        </w:trPr>
        <w:tc>
          <w:tcPr>
            <w:tcW w:type="dxa" w:w="5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May</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77</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$28,597</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$371</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47</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74%</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256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$94,683</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$370</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279</w:t>
            </w:r>
          </w:p>
        </w:tc>
        <w:tc>
          <w:tcPr>
            <w:tcW w:type="dxa" w:w="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$103,271</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$370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+9%</w:t>
            </w:r>
          </w:p>
        </w:tc>
      </w:tr>
      <w:tr>
        <w:trPr>
          <w:cantSplit/>
        </w:trPr>
        <w:tc>
          <w:tcPr>
            <w:tcW w:type="dxa" w:w="5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Jun</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53</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$25,399</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$479</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110%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284</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$78,910</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$278</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314</w:t>
            </w:r>
          </w:p>
        </w:tc>
        <w:tc>
          <w:tcPr>
            <w:tcW w:type="dxa" w:w="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$97,852</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$312</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+24%</w:t>
            </w:r>
          </w:p>
        </w:tc>
      </w:tr>
      <w:tr>
        <w:trPr>
          <w:cantSplit/>
        </w:trPr>
        <w:tc>
          <w:tcPr>
            <w:tcW w:type="dxa" w:w="5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Jul</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324</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$131,298</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$405</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21</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143%</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267</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$105,428</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$395</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493</w:t>
            </w:r>
          </w:p>
        </w:tc>
        <w:tc>
          <w:tcPr>
            <w:tcW w:type="dxa" w:w="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$197,962</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$402</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+88%</w:t>
            </w:r>
          </w:p>
        </w:tc>
      </w:tr>
      <w:tr>
        <w:trPr>
          <w:cantSplit/>
        </w:trPr>
        <w:tc>
          <w:tcPr>
            <w:tcW w:type="dxa" w:w="5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Aug</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72</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-$6,979</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-$97</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150%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292</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$130,905</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$448</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403</w:t>
            </w:r>
          </w:p>
        </w:tc>
        <w:tc>
          <w:tcPr>
            <w:tcW w:type="dxa" w:w="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$141,318</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$351</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+8%</w:t>
            </w:r>
          </w:p>
        </w:tc>
      </w:tr>
      <w:tr>
        <w:trPr>
          <w:cantSplit/>
        </w:trPr>
        <w:tc>
          <w:tcPr>
            <w:tcW w:type="dxa" w:w="5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Sep</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229*</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$19,410</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$85</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326</w:t>
            </w:r>
          </w:p>
        </w:tc>
        <w:tc>
          <w:tcPr>
            <w:tcW w:type="dxa" w:w="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$27,628</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$85</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+42%</w:t>
            </w:r>
          </w:p>
        </w:tc>
      </w:tr>
      <w:tr>
        <w:trPr>
          <w:cantSplit/>
        </w:trPr>
        <w:tc>
          <w:tcPr>
            <w:tcW w:type="dxa" w:w="5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Oct</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0</w:t>
            </w:r>
          </w:p>
        </w:tc>
        <w:tc>
          <w:tcPr>
            <w:tcW w:type="dxa" w:w="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w:t>
            </w:r>
          </w:p>
        </w:tc>
      </w:tr>
      <w:tr>
        <w:trPr>
          <w:cantSplit/>
        </w:trPr>
        <w:tc>
          <w:tcPr>
            <w:tcW w:type="dxa" w:w="5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Nov</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$2,468</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$37</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43</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407*</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$179,408</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$441</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436</w:t>
            </w:r>
          </w:p>
        </w:tc>
        <w:tc>
          <w:tcPr>
            <w:tcW w:type="dxa" w:w="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$165,460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$380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−8%</w:t>
            </w:r>
          </w:p>
        </w:tc>
      </w:tr>
      <w:tr>
        <w:trPr>
          <w:cantSplit/>
        </w:trPr>
        <w:tc>
          <w:tcPr>
            <w:tcW w:type="dxa" w:w="5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4"/>
                <w:szCs w:val="14"/>
              </w:rPr>
              <w:t xml:space="preserve">Dec</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105</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$19,018</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$181</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627*</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$396,577</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$632</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660</w:t>
            </w:r>
          </w:p>
        </w:tc>
        <w:tc>
          <w:tcPr>
            <w:tcW w:type="dxa" w:w="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4"/>
                <w:szCs w:val="14"/>
              </w:rPr>
              <w:t xml:space="preserve">$369,901</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$561</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4"/>
                <w:szCs w:val="14"/>
              </w:rPr>
              <w:t xml:space="preserve">−7%</w:t>
            </w:r>
          </w:p>
        </w:tc>
      </w:tr>
      <w:tr>
        <w:trPr>
          <w:cantSplit/>
        </w:trPr>
        <w:tc>
          <w:tcPr>
            <w:tcW w:type="dxa" w:w="5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4"/>
                <w:szCs w:val="14"/>
              </w:rPr>
              <w:t xml:space="preserve">Total</w:t>
            </w:r>
          </w:p>
        </w:tc>
        <w:tc>
          <w:tcPr>
            <w:tcW w:type="dxa" w:w="6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2,437</w:t>
            </w:r>
          </w:p>
        </w:tc>
        <w:tc>
          <w:tcPr>
            <w:tcW w:type="dxa" w:w="9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$1,213,119</w:t>
            </w:r>
          </w:p>
        </w:tc>
        <w:tc>
          <w:tcPr>
            <w:tcW w:type="dxa" w:w="64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$498</w:t>
            </w:r>
          </w:p>
        </w:tc>
        <w:tc>
          <w:tcPr>
            <w:tcW w:type="dxa" w:w="6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1,035</w:t>
            </w:r>
          </w:p>
        </w:tc>
        <w:tc>
          <w:tcPr>
            <w:tcW w:type="dxa" w:w="6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124%</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4,958</w:t>
            </w:r>
          </w:p>
        </w:tc>
        <w:tc>
          <w:tcPr>
            <w:tcW w:type="dxa" w:w="9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$2,606,659</w:t>
            </w:r>
          </w:p>
        </w:tc>
        <w:tc>
          <w:tcPr>
            <w:tcW w:type="dxa" w:w="64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$526</w:t>
            </w:r>
          </w:p>
        </w:tc>
        <w:tc>
          <w:tcPr>
            <w:tcW w:type="dxa" w:w="6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5,786</w:t>
            </w:r>
          </w:p>
        </w:tc>
        <w:tc>
          <w:tcPr>
            <w:tcW w:type="dxa" w:w="9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$2,827,686</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$489</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4"/>
                <w:szCs w:val="14"/>
              </w:rPr>
              <w:t xml:space="preserve">+8%</w:t>
            </w:r>
          </w:p>
        </w:tc>
      </w:tr>
    </w:tbl>
    <w:p>
      <w:pPr>
        <w:spacing w:after="160" w:before="60" w:line="276"/>
      </w:pPr>
      <w:r>
        <w:rPr>
          <w:rFonts w:ascii="Calibri" w:cs="Calibri" w:eastAsia="Calibri" w:hAnsi="Calibri"/>
          <w:i/>
          <w:iCs/>
          <w:color w:val="4A5568"/>
          <w:sz w:val="15"/>
          <w:szCs w:val="15"/>
        </w:rPr>
        <w:t xml:space="preserve">OTB includes group blocks, which in Opera carry little or no room revenue until the rooming list is entered. That is why OTB ADR is low in July, August, November and December (August shows a negative OTB Room Revenue in Opera, a data issue). The projection values new nights at each month's 2026 ADR. * = 2026 month still open.</w:t>
      </w:r>
    </w:p>
    <w:p>
      <w:pPr>
        <w:keepNext/>
        <w:spacing w:after="60"/>
        <w:jc w:val="center"/>
      </w:pPr>
      <w:r>
        <w:drawing>
          <wp:inline distT="0" distB="0" distL="0" distR="0">
            <wp:extent cx="5852160" cy="2423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423160"/>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R1 — Room Revenue by month: 2026 (actual or projected), 2026 Financial Forecast and 2027 projection (US$ thousands).</w:t>
      </w:r>
    </w:p>
    <w:p>
      <w:pPr>
        <w:keepNext/>
        <w:spacing w:after="60"/>
        <w:jc w:val="center"/>
      </w:pPr>
      <w:r>
        <w:drawing>
          <wp:inline distT="0" distB="0" distL="0" distR="0">
            <wp:extent cx="5852160" cy="2423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2423160"/>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R2 — Rooms ADR by month: 2026 actual, 2026 Forecast, 2027 projection and the Budget 2027 net rate. The space between the lines is the rate opportunity — and the budget risk.</w:t>
      </w:r>
    </w:p>
    <w:p>
      <w:pPr>
        <w:pStyle w:val="Heading2"/>
        <w:keepNext/>
        <w:spacing w:after="100" w:before="240"/>
      </w:pPr>
      <w:r>
        <w:rPr>
          <w:rFonts w:ascii="Calibri" w:cs="Calibri" w:eastAsia="Calibri" w:hAnsi="Calibri"/>
        </w:rPr>
        <w:t xml:space="preserve">2.3 Rooms Only opportunities</w:t>
      </w:r>
    </w:p>
    <w:p>
      <w:pPr>
        <w:spacing w:after="120" w:before="0" w:line="276"/>
      </w:pPr>
      <w:r>
        <w:rPr>
          <w:rFonts w:ascii="Calibri" w:cs="Calibri" w:eastAsia="Calibri" w:hAnsi="Calibri"/>
          <w:sz w:val="21"/>
          <w:szCs w:val="21"/>
        </w:rPr>
        <w:t xml:space="preserve">Same projected 2027 volume (5,786 RN), different ADR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500"/>
        <w:gridCol w:w="1900"/>
        <w:gridCol w:w="1800"/>
      </w:tblGrid>
      <w:tr>
        <w:trPr>
          <w:tblHeader/>
        </w:trPr>
        <w:tc>
          <w:tcPr>
            <w:tcW w:type="dxa" w:w="41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Scenario</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Rooms ADR</w:t>
            </w:r>
          </w:p>
        </w:tc>
        <w:tc>
          <w:tcPr>
            <w:tcW w:type="dxa" w:w="1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Room Revenue 2027</w:t>
            </w:r>
          </w:p>
        </w:tc>
        <w:tc>
          <w:tcPr>
            <w:tcW w:type="dxa" w:w="1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vs projection</w:t>
            </w:r>
          </w:p>
        </w:tc>
      </w:tr>
      <w:tr>
        <w:trPr>
          <w:cantSplit/>
        </w:trPr>
        <w:tc>
          <w:tcPr>
            <w:tcW w:type="dxa" w:w="41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Projection (each month at its 2026 pickup ADR)</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7"/>
                <w:szCs w:val="17"/>
              </w:rPr>
              <w:t xml:space="preserve">$489</w:t>
            </w:r>
          </w:p>
        </w:tc>
        <w:tc>
          <w:tcPr>
            <w:tcW w:type="dxa" w:w="1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7"/>
                <w:szCs w:val="17"/>
              </w:rPr>
              <w:t xml:space="preserve">$2,827,686</w:t>
            </w:r>
          </w:p>
        </w:tc>
        <w:tc>
          <w:tcPr>
            <w:tcW w:type="dxa" w:w="1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7"/>
                <w:szCs w:val="17"/>
              </w:rPr>
              <w:t xml:space="preserve">—</w:t>
            </w:r>
          </w:p>
        </w:tc>
      </w:tr>
      <w:tr>
        <w:trPr>
          <w:cantSplit/>
        </w:trPr>
        <w:tc>
          <w:tcPr>
            <w:tcW w:type="dxa" w:w="41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Each month at its 2026 actual ADR</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7"/>
                <w:szCs w:val="17"/>
              </w:rPr>
              <w:t xml:space="preserve">$514</w:t>
            </w:r>
          </w:p>
        </w:tc>
        <w:tc>
          <w:tcPr>
            <w:tcW w:type="dxa" w:w="1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7"/>
                <w:szCs w:val="17"/>
              </w:rPr>
              <w:t xml:space="preserve">$2,976,281</w:t>
            </w:r>
          </w:p>
        </w:tc>
        <w:tc>
          <w:tcPr>
            <w:tcW w:type="dxa" w:w="1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7"/>
                <w:szCs w:val="17"/>
              </w:rPr>
              <w:t xml:space="preserve">+$148,595</w:t>
            </w:r>
          </w:p>
        </w:tc>
      </w:tr>
      <w:tr>
        <w:trPr>
          <w:cantSplit/>
        </w:trPr>
        <w:tc>
          <w:tcPr>
            <w:tcW w:type="dxa" w:w="41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Each month at the 2026 Forecast ADR</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7"/>
                <w:szCs w:val="17"/>
              </w:rPr>
              <w:t xml:space="preserve">$570</w:t>
            </w:r>
          </w:p>
        </w:tc>
        <w:tc>
          <w:tcPr>
            <w:tcW w:type="dxa" w:w="1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7"/>
                <w:szCs w:val="17"/>
              </w:rPr>
              <w:t xml:space="preserve">$3,297,221</w:t>
            </w:r>
          </w:p>
        </w:tc>
        <w:tc>
          <w:tcPr>
            <w:tcW w:type="dxa" w:w="1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7"/>
                <w:szCs w:val="17"/>
              </w:rPr>
              <w:t xml:space="preserve">+$469,536</w:t>
            </w:r>
          </w:p>
        </w:tc>
      </w:tr>
      <w:tr>
        <w:trPr>
          <w:cantSplit/>
        </w:trPr>
        <w:tc>
          <w:tcPr>
            <w:tcW w:type="dxa" w:w="41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7"/>
                <w:szCs w:val="17"/>
              </w:rPr>
              <w:t xml:space="preserve">Budget 2027 net rate on every night</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7"/>
                <w:szCs w:val="17"/>
              </w:rPr>
              <w:t xml:space="preserve">$655</w:t>
            </w:r>
          </w:p>
        </w:tc>
        <w:tc>
          <w:tcPr>
            <w:tcW w:type="dxa" w:w="1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7"/>
                <w:szCs w:val="17"/>
              </w:rPr>
              <w:t xml:space="preserve">$3,791,180</w:t>
            </w:r>
          </w:p>
        </w:tc>
        <w:tc>
          <w:tcPr>
            <w:tcW w:type="dxa" w:w="18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color w:val="C0392B"/>
                <w:sz w:val="17"/>
                <w:szCs w:val="17"/>
              </w:rPr>
              <w:t xml:space="preserve">+$963,494</w:t>
            </w:r>
          </w:p>
        </w:tc>
      </w:tr>
    </w:tbl>
    <w:p>
      <w:pPr>
        <w:spacing w:after="120" w:before="60" w:line="276"/>
      </w:pPr>
      <w:r>
        <w:rPr>
          <w:rFonts w:ascii="Calibri" w:cs="Calibri" w:eastAsia="Calibri" w:hAnsi="Calibri"/>
          <w:i/>
          <w:iCs/>
          <w:color w:val="4A5568"/>
          <w:sz w:val="15"/>
          <w:szCs w:val="15"/>
        </w:rPr>
        <w:t xml:space="preserve">The last row is not an opportunity but a warning: it is what the budget produces if its net rate is applied to all occupied nights, including comps, $0 nights and group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50"/>
        <w:gridCol w:w="950"/>
        <w:gridCol w:w="950"/>
        <w:gridCol w:w="950"/>
        <w:gridCol w:w="1150"/>
        <w:gridCol w:w="1300"/>
        <w:gridCol w:w="1100"/>
        <w:gridCol w:w="1310"/>
      </w:tblGrid>
      <w:tr>
        <w:trPr>
          <w:tblHeader/>
        </w:trPr>
        <w:tc>
          <w:tcPr>
            <w:tcW w:type="dxa" w:w="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Month</w:t>
            </w:r>
          </w:p>
        </w:tc>
        <w:tc>
          <w:tcPr>
            <w:tcW w:type="dxa" w:w="9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Proj. occ.</w:t>
            </w:r>
          </w:p>
        </w:tc>
        <w:tc>
          <w:tcPr>
            <w:tcW w:type="dxa" w:w="9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Proj. ADR</w:t>
            </w:r>
          </w:p>
        </w:tc>
        <w:tc>
          <w:tcPr>
            <w:tcW w:type="dxa" w:w="9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2026 ADR</w:t>
            </w:r>
          </w:p>
        </w:tc>
        <w:tc>
          <w:tcPr>
            <w:tcW w:type="dxa" w:w="9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Fcst ADR</w:t>
            </w:r>
          </w:p>
        </w:tc>
        <w:tc>
          <w:tcPr>
            <w:tcW w:type="dxa" w:w="11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To 2026 ADR</w:t>
            </w:r>
          </w:p>
        </w:tc>
        <w:tc>
          <w:tcPr>
            <w:tcW w:type="dxa" w:w="13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+5 pts occupancy</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+5% rate</w:t>
            </w:r>
          </w:p>
        </w:tc>
        <w:tc>
          <w:tcPr>
            <w:tcW w:type="dxa" w:w="131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2026 nights at $0</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Jan</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83.0%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$636</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$611</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$671</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$29,562</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$5,778</w:t>
            </w:r>
          </w:p>
        </w:tc>
        <w:tc>
          <w:tcPr>
            <w:tcW w:type="dxa" w:w="13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Feb</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91.3%</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$587</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$605</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$623</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$13,864</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$24,671</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$6,381</w:t>
            </w:r>
          </w:p>
        </w:tc>
        <w:tc>
          <w:tcPr>
            <w:tcW w:type="dxa" w:w="13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Mar</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84.5%</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$559</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$590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$614</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$24,487</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$25,974</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$9,995</w:t>
            </w:r>
          </w:p>
        </w:tc>
        <w:tc>
          <w:tcPr>
            <w:tcW w:type="dxa" w:w="13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Apr</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61.2%</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$624</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$679</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$675</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$30,094</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$28,093</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$11,829</w:t>
            </w:r>
          </w:p>
        </w:tc>
        <w:tc>
          <w:tcPr>
            <w:tcW w:type="dxa" w:w="13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May</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30.0%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$536</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$17,218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$3,738</w:t>
            </w:r>
          </w:p>
        </w:tc>
        <w:tc>
          <w:tcPr>
            <w:tcW w:type="dxa" w:w="13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16%</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Jun</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34.9%</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$312</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$278</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$490</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$14,034</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$4,066</w:t>
            </w:r>
          </w:p>
        </w:tc>
        <w:tc>
          <w:tcPr>
            <w:tcW w:type="dxa" w:w="13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45%</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Jul</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53.0%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$402</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$395</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$452</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$18,678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$3,391</w:t>
            </w:r>
          </w:p>
        </w:tc>
        <w:tc>
          <w:tcPr>
            <w:tcW w:type="dxa" w:w="13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Aug</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43.3%</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$351</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$448</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$514</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$39,257</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$16,314</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$5,803</w:t>
            </w:r>
          </w:p>
        </w:tc>
        <w:tc>
          <w:tcPr>
            <w:tcW w:type="dxa" w:w="13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16%</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Sep</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36.2%</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$85</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$85</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$455</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$3,814</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$1,381</w:t>
            </w:r>
          </w:p>
        </w:tc>
        <w:tc>
          <w:tcPr>
            <w:tcW w:type="dxa" w:w="13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83%</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Nov</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48.4%</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$380</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$441</w:t>
            </w:r>
          </w:p>
        </w:tc>
        <w:tc>
          <w:tcPr>
            <w:tcW w:type="dxa" w:w="9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$360</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$26,629</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$17,088</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$7,020</w:t>
            </w:r>
          </w:p>
        </w:tc>
        <w:tc>
          <w:tcPr>
            <w:tcW w:type="dxa" w:w="13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Dec</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71.0%</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$561</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$632</w:t>
            </w:r>
          </w:p>
        </w:tc>
        <w:tc>
          <w:tcPr>
            <w:tcW w:type="dxa" w:w="9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$621</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$47,389</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$26,069</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$15,552</w:t>
            </w:r>
          </w:p>
        </w:tc>
        <w:tc>
          <w:tcPr>
            <w:tcW w:type="dxa" w:w="13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w:t>
            </w:r>
          </w:p>
        </w:tc>
      </w:tr>
      <w:tr>
        <w:trPr>
          <w:cantSplit/>
        </w:trPr>
        <w:tc>
          <w:tcPr>
            <w:tcW w:type="dxa" w:w="7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5"/>
                <w:szCs w:val="15"/>
              </w:rPr>
              <w:t xml:space="preserve">Total</w:t>
            </w:r>
          </w:p>
        </w:tc>
        <w:tc>
          <w:tcPr>
            <w:tcW w:type="dxa" w:w="9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52.8%</w:t>
            </w:r>
          </w:p>
        </w:tc>
        <w:tc>
          <w:tcPr>
            <w:tcW w:type="dxa" w:w="9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$489</w:t>
            </w:r>
          </w:p>
        </w:tc>
        <w:tc>
          <w:tcPr>
            <w:tcW w:type="dxa" w:w="9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$526</w:t>
            </w:r>
          </w:p>
        </w:tc>
        <w:tc>
          <w:tcPr>
            <w:tcW w:type="dxa" w:w="9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$586</w:t>
            </w:r>
          </w:p>
        </w:tc>
        <w:tc>
          <w:tcPr>
            <w:tcW w:type="dxa" w:w="11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$148,595</w:t>
            </w:r>
          </w:p>
        </w:tc>
        <w:tc>
          <w:tcPr>
            <w:tcW w:type="dxa" w:w="13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$221,518</w:t>
            </w:r>
          </w:p>
        </w:tc>
        <w:tc>
          <w:tcPr>
            <w:tcW w:type="dxa" w:w="11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$74,934</w:t>
            </w:r>
          </w:p>
        </w:tc>
        <w:tc>
          <w:tcPr>
            <w:tcW w:type="dxa" w:w="131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14%</w:t>
            </w:r>
          </w:p>
        </w:tc>
      </w:tr>
    </w:tbl>
    <w:p>
      <w:pPr>
        <w:spacing w:after="100"/>
      </w:pPr>
    </w:p>
    <w:p>
      <w:pPr>
        <w:keepNext/>
        <w:spacing w:after="60" w:before="140"/>
      </w:pPr>
      <w:r>
        <w:rPr>
          <w:rFonts w:ascii="Calibri" w:cs="Calibri" w:eastAsia="Calibri" w:hAnsi="Calibri"/>
          <w:b/>
          <w:bCs/>
          <w:color w:val="1A3A5C"/>
          <w:sz w:val="22"/>
          <w:szCs w:val="22"/>
        </w:rPr>
        <w:t xml:space="preserve">Where the Rooms upside is</w:t>
      </w:r>
    </w:p>
    <w:p>
      <w:pPr>
        <w:pStyle w:val="ListParagraph"/>
        <w:numPr>
          <w:ilvl w:val="0"/>
          <w:numId w:val="2"/>
        </w:numPr>
        <w:spacing w:after="70" w:line="264"/>
      </w:pPr>
      <w:r>
        <w:rPr>
          <w:rFonts w:ascii="Calibri" w:cs="Calibri" w:eastAsia="Calibri" w:hAnsi="Calibri"/>
          <w:sz w:val="21"/>
          <w:szCs w:val="21"/>
        </w:rPr>
        <w:t xml:space="preserve">Recover the 2026 ADR month by month: +$148,595. The projection already carries a lower ADR than 2026 because the nights on the books include group blocks with little room revenue; converting those blocks at contract rates closes most of this gap.</w:t>
      </w:r>
    </w:p>
    <w:p>
      <w:pPr>
        <w:pStyle w:val="ListParagraph"/>
        <w:numPr>
          <w:ilvl w:val="0"/>
          <w:numId w:val="2"/>
        </w:numPr>
        <w:spacing w:after="70" w:line="264"/>
      </w:pPr>
      <w:r>
        <w:rPr>
          <w:rFonts w:ascii="Calibri" w:cs="Calibri" w:eastAsia="Calibri" w:hAnsi="Calibri"/>
          <w:sz w:val="21"/>
          <w:szCs w:val="21"/>
        </w:rPr>
        <w:t xml:space="preserve">Reach the 2026 Forecast ADR: +$469,536. This is the rate level Finance planned for 2026 and did not achieve, mainly in May–August.</w:t>
      </w:r>
    </w:p>
    <w:p>
      <w:pPr>
        <w:pStyle w:val="ListParagraph"/>
        <w:numPr>
          <w:ilvl w:val="0"/>
          <w:numId w:val="2"/>
        </w:numPr>
        <w:spacing w:after="70" w:line="264"/>
      </w:pPr>
      <w:r>
        <w:rPr>
          <w:rFonts w:ascii="Calibri" w:cs="Calibri" w:eastAsia="Calibri" w:hAnsi="Calibri"/>
          <w:sz w:val="21"/>
          <w:szCs w:val="21"/>
        </w:rPr>
        <w:t xml:space="preserve">Reduce nights at $0: 634 nights in 2026 (14%). Every 100 of them sold at the 2026 paying average is about $67,241. Put a monthly cap on comps, house use and FAM nights in the high season.</w:t>
      </w:r>
    </w:p>
    <w:p>
      <w:pPr>
        <w:pStyle w:val="ListParagraph"/>
        <w:numPr>
          <w:ilvl w:val="0"/>
          <w:numId w:val="2"/>
        </w:numPr>
        <w:spacing w:after="70" w:line="264"/>
      </w:pPr>
      <w:r>
        <w:rPr>
          <w:rFonts w:ascii="Calibri" w:cs="Calibri" w:eastAsia="Calibri" w:hAnsi="Calibri"/>
          <w:sz w:val="21"/>
          <w:szCs w:val="21"/>
        </w:rPr>
        <w:t xml:space="preserve">Occupancy in the green season: each 5 occupancy points across the open months is worth $221,518 of Room Revenue; May, June, August and September carry the most unsold rooms.</w:t>
      </w:r>
    </w:p>
    <w:p>
      <w:pPr>
        <w:pStyle w:val="ListParagraph"/>
        <w:numPr>
          <w:ilvl w:val="0"/>
          <w:numId w:val="2"/>
        </w:numPr>
        <w:spacing w:after="70" w:line="264"/>
      </w:pPr>
      <w:r>
        <w:rPr>
          <w:rFonts w:ascii="Calibri" w:cs="Calibri" w:eastAsia="Calibri" w:hAnsi="Calibri"/>
          <w:sz w:val="21"/>
          <w:szCs w:val="21"/>
        </w:rPr>
        <w:t xml:space="preserve">Villa pricing: Carate and Agujas already sell 12% and 27% above their budget pair (Corcovado and Sirena). Pricing them separately captures that premium explicitly.</w:t>
      </w:r>
    </w:p>
    <w:p>
      <w:pPr>
        <w:pStyle w:val="Heading2"/>
        <w:keepNext/>
        <w:spacing w:after="100" w:before="240"/>
      </w:pPr>
      <w:r>
        <w:rPr>
          <w:rFonts w:ascii="Calibri" w:cs="Calibri" w:eastAsia="Calibri" w:hAnsi="Calibri"/>
        </w:rPr>
        <w:t xml:space="preserve">2.4 Room rates: Budget 2027 vs Opera and 2026 actual</w:t>
      </w:r>
    </w:p>
    <w:p>
      <w:pPr>
        <w:spacing w:after="120" w:before="0" w:line="276"/>
      </w:pPr>
      <w:r>
        <w:rPr>
          <w:rFonts w:ascii="Calibri" w:cs="Calibri" w:eastAsia="Calibri" w:hAnsi="Calibri"/>
          <w:sz w:val="21"/>
          <w:szCs w:val="21"/>
        </w:rPr>
        <w:t xml:space="preserve">The 2027 budget prices rooms with a net rate per villa type and month (rack × 0.797). Here it is tested against the rates booked in Opera for 2027 and the rates charged in 2026 (paying reservations, weighted by room nights and by the same villa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000"/>
        <w:gridCol w:w="1000"/>
        <w:gridCol w:w="1150"/>
        <w:gridCol w:w="1100"/>
        <w:gridCol w:w="1050"/>
        <w:gridCol w:w="1060"/>
        <w:gridCol w:w="1300"/>
      </w:tblGrid>
      <w:tr>
        <w:trPr>
          <w:tblHeader/>
        </w:trPr>
        <w:tc>
          <w:tcPr>
            <w:tcW w:type="dxa" w:w="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Month</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2027 RN booked</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Opera 2027</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Budget 2027</w:t>
            </w:r>
          </w:p>
        </w:tc>
        <w:tc>
          <w:tcPr>
            <w:tcW w:type="dxa" w:w="11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Opera vs Budget</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rate (actual)</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Budget vs 2026</w:t>
            </w:r>
          </w:p>
        </w:tc>
        <w:tc>
          <w:tcPr>
            <w:tcW w:type="dxa" w:w="10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nights at $0</w:t>
            </w:r>
          </w:p>
        </w:tc>
        <w:tc>
          <w:tcPr>
            <w:tcW w:type="dxa" w:w="13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Rooms ADR (P&amp;L)</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Jan</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468</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$760</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$731</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+4%</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$693</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$611</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Feb</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381</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$761</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$716</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+6%</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$660</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+13%</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$605</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Mar</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213</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$706</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$681</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+4%</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$686</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$590</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Apr</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105</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$654</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$569</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+15%</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$804</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−14%</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$679</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May</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35</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$599</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$659</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small sample</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$616</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16%</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$370</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Jun</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11</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$675</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$533</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small sample</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$533</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45%</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$278</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Jul</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30</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$536</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$422</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small sample</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$601</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−15%</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17%</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$395</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Aug</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$617</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$359</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small sample</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$621</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−19%</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16%</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$448</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Sep</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$605</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−12%</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83%</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r>
      <w:tr>
        <w:trPr>
          <w:cantSplit/>
        </w:trPr>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Nov</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$562</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w:t>
            </w:r>
          </w:p>
        </w:tc>
      </w:tr>
      <w:tr>
        <w:trPr>
          <w:cantSplit/>
        </w:trPr>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Dec</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$729</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w:t>
            </w:r>
          </w:p>
        </w:tc>
      </w:tr>
    </w:tbl>
    <w:p>
      <w:pPr>
        <w:spacing w:after="160" w:before="60" w:line="276"/>
      </w:pPr>
      <w:r>
        <w:rPr>
          <w:rFonts w:ascii="Calibri" w:cs="Calibri" w:eastAsia="Calibri" w:hAnsi="Calibri"/>
          <w:i/>
          <w:iCs/>
          <w:color w:val="4A5568"/>
          <w:sz w:val="15"/>
          <w:szCs w:val="15"/>
        </w:rPr>
        <w:t xml:space="preserve">Budget vs 2026 = increase the 2027 budget implies over the rate actually charged in 2026 (2026 villa mix). 2026 Rooms ADR = Room Revenue in Opera's History &amp; Forecast ÷ all occupied nights, including nights at $0; closed months only.</w:t>
      </w:r>
    </w:p>
    <w:p>
      <w:pPr>
        <w:keepNext/>
        <w:spacing w:after="60" w:before="140"/>
      </w:pPr>
      <w:r>
        <w:rPr>
          <w:rFonts w:ascii="Calibri" w:cs="Calibri" w:eastAsia="Calibri" w:hAnsi="Calibri"/>
          <w:b/>
          <w:bCs/>
          <w:color w:val="1A3A5C"/>
          <w:sz w:val="22"/>
          <w:szCs w:val="22"/>
        </w:rPr>
        <w:t xml:space="preserve">By villa type — January to March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900"/>
        <w:gridCol w:w="1050"/>
        <w:gridCol w:w="1050"/>
        <w:gridCol w:w="1150"/>
        <w:gridCol w:w="1050"/>
        <w:gridCol w:w="1100"/>
      </w:tblGrid>
      <w:tr>
        <w:trPr>
          <w:tblHeader/>
        </w:trPr>
        <w:tc>
          <w:tcPr>
            <w:tcW w:type="dxa" w:w="30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Villa type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booked</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Opera 2027</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Budget 2027</w:t>
            </w:r>
          </w:p>
        </w:tc>
        <w:tc>
          <w:tcPr>
            <w:tcW w:type="dxa" w:w="11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Opera vs Budget</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actual</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2027 vs 2026</w:t>
            </w:r>
          </w:p>
        </w:tc>
      </w:tr>
      <w:tr>
        <w:trPr>
          <w:cantSplit/>
        </w:trPr>
        <w:tc>
          <w:tcPr>
            <w:tcW w:type="dxa" w:w="3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Corcovado Deluxe Villas, King bed</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289</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$650</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$662</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6"/>
                <w:szCs w:val="16"/>
              </w:rPr>
              <w:t xml:space="preserve">−2%</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$562</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+16%</w:t>
            </w:r>
          </w:p>
        </w:tc>
      </w:tr>
      <w:tr>
        <w:trPr>
          <w:cantSplit/>
        </w:trPr>
        <w:tc>
          <w:tcPr>
            <w:tcW w:type="dxa" w:w="3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Carate Deluxe Villa Double Beds</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81</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$744</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$662</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+12%</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$620</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+20%</w:t>
            </w:r>
          </w:p>
        </w:tc>
      </w:tr>
      <w:tr>
        <w:trPr>
          <w:cantSplit/>
        </w:trPr>
        <w:tc>
          <w:tcPr>
            <w:tcW w:type="dxa" w:w="3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Agujas Villa 2 Queen Beds</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121</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$574</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$470</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+22%</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$502</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+14%</w:t>
            </w:r>
          </w:p>
        </w:tc>
      </w:tr>
      <w:tr>
        <w:trPr>
          <w:cantSplit/>
        </w:trPr>
        <w:tc>
          <w:tcPr>
            <w:tcW w:type="dxa" w:w="3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Sirena Suites, Queen Bed (connecting)</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245</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$454</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$470</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6"/>
                <w:szCs w:val="16"/>
              </w:rPr>
              <w:t xml:space="preserve">−4%</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$423</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w:t>
            </w:r>
          </w:p>
        </w:tc>
      </w:tr>
      <w:tr>
        <w:trPr>
          <w:cantSplit/>
        </w:trPr>
        <w:tc>
          <w:tcPr>
            <w:tcW w:type="dxa" w:w="3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Treehouse king bed</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206</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$1,001</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$963</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6"/>
                <w:szCs w:val="16"/>
              </w:rPr>
              <w:t xml:space="preserve">+4%</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$877</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+14%</w:t>
            </w:r>
          </w:p>
        </w:tc>
      </w:tr>
      <w:tr>
        <w:trPr>
          <w:cantSplit/>
        </w:trPr>
        <w:tc>
          <w:tcPr>
            <w:tcW w:type="dxa" w:w="3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5 Elements Treehouse king bed</w:t>
            </w:r>
          </w:p>
        </w:tc>
        <w:tc>
          <w:tcPr>
            <w:tcW w:type="dxa" w:w="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120</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$1,340</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$1,203</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color w:val="1A7F5A"/>
                <w:sz w:val="16"/>
                <w:szCs w:val="16"/>
              </w:rPr>
              <w:t xml:space="preserve">+11%</w:t>
            </w:r>
          </w:p>
        </w:tc>
        <w:tc>
          <w:tcPr>
            <w:tcW w:type="dxa" w:w="10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$1,072</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+25%</w:t>
            </w:r>
          </w:p>
        </w:tc>
      </w:tr>
    </w:tbl>
    <w:p>
      <w:pPr>
        <w:keepNext/>
        <w:spacing w:after="60" w:before="140"/>
      </w:pPr>
      <w:r>
        <w:rPr>
          <w:rFonts w:ascii="Calibri" w:cs="Calibri" w:eastAsia="Calibri" w:hAnsi="Calibri"/>
          <w:b/>
          <w:bCs/>
          <w:color w:val="1A3A5C"/>
          <w:sz w:val="22"/>
          <w:szCs w:val="22"/>
        </w:rPr>
        <w:t xml:space="preserve">Findings on rates</w:t>
      </w:r>
    </w:p>
    <w:p>
      <w:pPr>
        <w:pStyle w:val="ListParagraph"/>
        <w:numPr>
          <w:ilvl w:val="0"/>
          <w:numId w:val="2"/>
        </w:numPr>
        <w:spacing w:after="70" w:line="264"/>
      </w:pPr>
      <w:r>
        <w:rPr>
          <w:rFonts w:ascii="Calibri" w:cs="Calibri" w:eastAsia="Calibri" w:hAnsi="Calibri"/>
          <w:sz w:val="21"/>
          <w:szCs w:val="21"/>
        </w:rPr>
        <w:t xml:space="preserve">High season is on track rate-wise. Rates booked for January–April 2027 are 4–15% above the budget net rate, and 10–15% above what was charged in January–February 2026. The budget's 9–13% increase over 2026 in January–March is already being achieved.</w:t>
      </w:r>
    </w:p>
    <w:p>
      <w:pPr>
        <w:pStyle w:val="ListParagraph"/>
        <w:numPr>
          <w:ilvl w:val="0"/>
          <w:numId w:val="2"/>
        </w:numPr>
        <w:spacing w:after="70" w:line="264"/>
      </w:pPr>
      <w:r>
        <w:rPr>
          <w:rFonts w:ascii="Calibri" w:cs="Calibri" w:eastAsia="Calibri" w:hAnsi="Calibri"/>
          <w:sz w:val="21"/>
          <w:szCs w:val="21"/>
        </w:rPr>
        <w:t xml:space="preserve">Two villa pairs are budgeted at the same rate but sell at different prices. Carate sells 12% above Corcovado and Agujas 27% above Sirena, while the budget gives each pair one rate. 5 Elements is also selling 11% above budget.</w:t>
      </w:r>
    </w:p>
    <w:p>
      <w:pPr>
        <w:pStyle w:val="ListParagraph"/>
        <w:numPr>
          <w:ilvl w:val="0"/>
          <w:numId w:val="2"/>
        </w:numPr>
        <w:spacing w:after="70" w:line="264"/>
      </w:pPr>
      <w:r>
        <w:rPr>
          <w:rFonts w:ascii="Calibri" w:cs="Calibri" w:eastAsia="Calibri" w:hAnsi="Calibri"/>
          <w:sz w:val="21"/>
          <w:szCs w:val="21"/>
        </w:rPr>
        <w:t xml:space="preserve">Corcovado and Sirena, the two largest inventories, are 2–4% below the budget rate for January–March. They carry most of the rate risk.</w:t>
      </w:r>
    </w:p>
    <w:p>
      <w:pPr>
        <w:pStyle w:val="ListParagraph"/>
        <w:numPr>
          <w:ilvl w:val="0"/>
          <w:numId w:val="2"/>
        </w:numPr>
        <w:spacing w:after="70" w:line="264"/>
      </w:pPr>
      <w:r>
        <w:rPr>
          <w:rFonts w:ascii="Calibri" w:cs="Calibri" w:eastAsia="Calibri" w:hAnsi="Calibri"/>
          <w:sz w:val="21"/>
          <w:szCs w:val="21"/>
        </w:rPr>
        <w:t xml:space="preserve">From July onwards the budget rates sit 7–19% below what 2026 actually charged, so the budget is conservative there. May and June need 7–10% more than 2026.</w:t>
      </w:r>
    </w:p>
    <w:p>
      <w:pPr>
        <w:pStyle w:val="ListParagraph"/>
        <w:numPr>
          <w:ilvl w:val="0"/>
          <w:numId w:val="2"/>
        </w:numPr>
        <w:spacing w:after="70" w:line="264"/>
      </w:pPr>
      <w:r>
        <w:rPr>
          <w:rFonts w:ascii="Calibri" w:cs="Calibri" w:eastAsia="Calibri" w:hAnsi="Calibri"/>
          <w:sz w:val="21"/>
          <w:szCs w:val="21"/>
        </w:rPr>
        <w:t xml:space="preserve">The main gap is the nights at $0, not the rate: 14% of 2026 occupied nights (45% in June). January–March 2026 Rooms ADR in the P&amp;L was $590–611 versus $746–757 of budget net rate, so room revenue is overstated if the net rate is applied to every night.</w:t>
      </w:r>
    </w:p>
    <w:p>
      <w:r>
        <w:br w:type="page"/>
      </w:r>
    </w:p>
    <w:p>
      <w:pPr>
        <w:spacing w:after="60" w:before="0" w:line="276"/>
      </w:pPr>
      <w:r>
        <w:rPr>
          <w:rFonts w:ascii="Calibri" w:cs="Calibri" w:eastAsia="Calibri" w:hAnsi="Calibri"/>
          <w:b/>
          <w:bCs/>
          <w:color w:val="2D5A9E"/>
          <w:sz w:val="26"/>
          <w:szCs w:val="26"/>
        </w:rPr>
        <w:t xml:space="preserve">PART II — TOTAL REVENUE</w:t>
      </w:r>
    </w:p>
    <w:p>
      <w:pPr>
        <w:spacing w:after="120" w:before="0" w:line="276"/>
      </w:pPr>
      <w:r>
        <w:rPr>
          <w:rFonts w:ascii="Calibri" w:cs="Calibri" w:eastAsia="Calibri" w:hAnsi="Calibri"/>
          <w:sz w:val="21"/>
          <w:szCs w:val="21"/>
        </w:rPr>
        <w:t xml:space="preserve">The same analysis on Total Revenue: rooms plus food &amp; beverage, activities, transportation and other on-site revenue.</w:t>
      </w:r>
    </w:p>
    <w:p>
      <w:pPr>
        <w:pStyle w:val="Heading1"/>
        <w:spacing w:after="160" w:before="240"/>
      </w:pPr>
      <w:r>
        <w:rPr>
          <w:rFonts w:ascii="Calibri" w:cs="Calibri" w:eastAsia="Calibri" w:hAnsi="Calibri"/>
        </w:rPr>
        <w:t xml:space="preserve">3. Starting Point: The 2026 Base</w:t>
      </w:r>
    </w:p>
    <w:p>
      <w:pPr>
        <w:spacing w:after="120" w:before="0" w:line="276"/>
      </w:pPr>
      <w:r>
        <w:rPr>
          <w:rFonts w:ascii="Calibri" w:cs="Calibri" w:eastAsia="Calibri" w:hAnsi="Calibri"/>
          <w:sz w:val="21"/>
          <w:szCs w:val="21"/>
        </w:rPr>
        <w:t xml:space="preserve">The 2027 projection relies entirely on how 2026 behaved. On 30 September 2025, CWL had 1,035 RN on the books for 2026. It then picked up another 3,923 RN to reach 4,958 RN (52.2%) and $4,897,469. That is 111% of the 2026 Financial Forecast in room nights, but 97% in revenue: volume beat the forecast and value per night fell short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40"/>
        <w:gridCol w:w="660"/>
        <w:gridCol w:w="720"/>
        <w:gridCol w:w="680"/>
        <w:gridCol w:w="1060"/>
        <w:gridCol w:w="1060"/>
        <w:gridCol w:w="680"/>
        <w:gridCol w:w="980"/>
        <w:gridCol w:w="1000"/>
        <w:gridCol w:w="1060"/>
      </w:tblGrid>
      <w:tr>
        <w:trPr>
          <w:tblHeader/>
        </w:trPr>
        <w:tc>
          <w:tcPr>
            <w:tcW w:type="dxa" w:w="8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Month</w:t>
            </w:r>
          </w:p>
        </w:tc>
        <w:tc>
          <w:tcPr>
            <w:tcW w:type="dxa" w:w="64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Status</w:t>
            </w:r>
          </w:p>
        </w:tc>
        <w:tc>
          <w:tcPr>
            <w:tcW w:type="dxa" w:w="6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RN</w:t>
            </w:r>
          </w:p>
        </w:tc>
        <w:tc>
          <w:tcPr>
            <w:tcW w:type="dxa" w:w="7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Fcst RN</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vs Fcst</w:t>
            </w:r>
          </w:p>
        </w:tc>
        <w:tc>
          <w:tcPr>
            <w:tcW w:type="dxa" w:w="10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Revenue</w:t>
            </w:r>
          </w:p>
        </w:tc>
        <w:tc>
          <w:tcPr>
            <w:tcW w:type="dxa" w:w="10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Fcst revenue</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vs Fcst</w:t>
            </w:r>
          </w:p>
        </w:tc>
        <w:tc>
          <w:tcPr>
            <w:tcW w:type="dxa" w:w="9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OTB 30-Sep-25</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Picked up after</w:t>
            </w:r>
          </w:p>
        </w:tc>
        <w:tc>
          <w:tcPr>
            <w:tcW w:type="dxa" w:w="10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Fill rate</w:t>
            </w:r>
          </w:p>
        </w:tc>
      </w:tr>
      <w:tr>
        <w:trPr>
          <w:cantSplit/>
        </w:trPr>
        <w:tc>
          <w:tcPr>
            <w:tcW w:type="dxa" w:w="8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Jan 2026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688</w:t>
            </w:r>
          </w:p>
        </w:tc>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637</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$862,234</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$867,046</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w:t>
            </w:r>
          </w:p>
        </w:tc>
        <w:tc>
          <w:tcPr>
            <w:tcW w:type="dxa" w:w="9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410</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278</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53.5%</w:t>
            </w:r>
          </w:p>
        </w:tc>
      </w:tr>
      <w:tr>
        <w:trPr>
          <w:cantSplit/>
        </w:trPr>
        <w:tc>
          <w:tcPr>
            <w:tcW w:type="dxa" w:w="8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Feb 2026</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684</w:t>
            </w:r>
          </w:p>
        </w:tc>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668</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$766,156</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$788,287</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c>
          <w:tcPr>
            <w:tcW w:type="dxa" w:w="9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218</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466</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74.9%</w:t>
            </w:r>
          </w:p>
        </w:tc>
      </w:tr>
      <w:tr>
        <w:trPr>
          <w:cantSplit/>
        </w:trPr>
        <w:tc>
          <w:tcPr>
            <w:tcW w:type="dxa" w:w="8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Mar 2026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721</w:t>
            </w:r>
          </w:p>
        </w:tc>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691</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$788,508</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$796,152</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w:t>
            </w:r>
          </w:p>
        </w:tc>
        <w:tc>
          <w:tcPr>
            <w:tcW w:type="dxa" w:w="9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202</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519</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71.3%</w:t>
            </w:r>
          </w:p>
        </w:tc>
      </w:tr>
      <w:tr>
        <w:trPr>
          <w:cantSplit/>
        </w:trPr>
        <w:tc>
          <w:tcPr>
            <w:tcW w:type="dxa" w:w="8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Apr 2026</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503</w:t>
            </w:r>
          </w:p>
        </w:tc>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473</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$615,596</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$597,135</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c>
          <w:tcPr>
            <w:tcW w:type="dxa" w:w="9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431</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52.0%</w:t>
            </w:r>
          </w:p>
        </w:tc>
      </w:tr>
      <w:tr>
        <w:trPr>
          <w:cantSplit/>
        </w:trPr>
        <w:tc>
          <w:tcPr>
            <w:tcW w:type="dxa" w:w="8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May 2026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256</w:t>
            </w:r>
          </w:p>
        </w:tc>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223</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$220,797</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$244,902</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w:t>
            </w:r>
          </w:p>
        </w:tc>
        <w:tc>
          <w:tcPr>
            <w:tcW w:type="dxa" w:w="9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47</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209</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23.7%</w:t>
            </w:r>
          </w:p>
        </w:tc>
      </w:tr>
      <w:tr>
        <w:trPr>
          <w:cantSplit/>
        </w:trPr>
        <w:tc>
          <w:tcPr>
            <w:tcW w:type="dxa" w:w="8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Jun 2026</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284</w:t>
            </w:r>
          </w:p>
        </w:tc>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162</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+75%</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$153,239</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$153,903</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9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274</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30.8%</w:t>
            </w:r>
          </w:p>
        </w:tc>
      </w:tr>
      <w:tr>
        <w:trPr>
          <w:cantSplit/>
        </w:trPr>
        <w:tc>
          <w:tcPr>
            <w:tcW w:type="dxa" w:w="8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Jul 2026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267</w:t>
            </w:r>
          </w:p>
        </w:tc>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233</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$248,598</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$248,437</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9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21</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246</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27.9%</w:t>
            </w:r>
          </w:p>
        </w:tc>
      </w:tr>
      <w:tr>
        <w:trPr>
          <w:cantSplit/>
        </w:trPr>
        <w:tc>
          <w:tcPr>
            <w:tcW w:type="dxa" w:w="8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Aug 2026</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Actual</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292</w:t>
            </w:r>
          </w:p>
        </w:tc>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254</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$278,054</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$277,857</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9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288</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38.6%</w:t>
            </w:r>
          </w:p>
        </w:tc>
      </w:tr>
      <w:tr>
        <w:trPr>
          <w:cantSplit/>
        </w:trPr>
        <w:tc>
          <w:tcPr>
            <w:tcW w:type="dxa" w:w="8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Sep 2026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Open</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229</w:t>
            </w:r>
          </w:p>
        </w:tc>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44</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+420%</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$43,019</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$39,380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w:t>
            </w:r>
          </w:p>
        </w:tc>
        <w:tc>
          <w:tcPr>
            <w:tcW w:type="dxa" w:w="9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226</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36.2%</w:t>
            </w:r>
          </w:p>
        </w:tc>
      </w:tr>
      <w:tr>
        <w:trPr>
          <w:cantSplit/>
        </w:trPr>
        <w:tc>
          <w:tcPr>
            <w:tcW w:type="dxa" w:w="8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Oct 2026</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Closed</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9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w:t>
            </w:r>
          </w:p>
        </w:tc>
      </w:tr>
      <w:tr>
        <w:trPr>
          <w:cantSplit/>
        </w:trPr>
        <w:tc>
          <w:tcPr>
            <w:tcW w:type="dxa" w:w="8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Nov 2026</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Open</w:t>
            </w:r>
          </w:p>
        </w:tc>
        <w:tc>
          <w:tcPr>
            <w:tcW w:type="dxa" w:w="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407</w:t>
            </w:r>
          </w:p>
        </w:tc>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375</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$299,890</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$280,508</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w:t>
            </w:r>
          </w:p>
        </w:tc>
        <w:tc>
          <w:tcPr>
            <w:tcW w:type="dxa" w:w="9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43</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364</w:t>
            </w:r>
          </w:p>
        </w:tc>
        <w:tc>
          <w:tcPr>
            <w:tcW w:type="dxa" w:w="10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44.3%</w:t>
            </w:r>
          </w:p>
        </w:tc>
      </w:tr>
      <w:tr>
        <w:trPr>
          <w:cantSplit/>
        </w:trPr>
        <w:tc>
          <w:tcPr>
            <w:tcW w:type="dxa" w:w="8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Dec 2026</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Open</w:t>
            </w:r>
          </w:p>
        </w:tc>
        <w:tc>
          <w:tcPr>
            <w:tcW w:type="dxa" w:w="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627</w:t>
            </w:r>
          </w:p>
        </w:tc>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723</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−13%</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$621,378</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$746,679</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w:t>
            </w:r>
          </w:p>
        </w:tc>
        <w:tc>
          <w:tcPr>
            <w:tcW w:type="dxa" w:w="9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w:t>
            </w:r>
          </w:p>
        </w:tc>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622</w:t>
            </w:r>
          </w:p>
        </w:tc>
        <w:tc>
          <w:tcPr>
            <w:tcW w:type="dxa" w:w="10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67.3%</w:t>
            </w:r>
          </w:p>
        </w:tc>
      </w:tr>
      <w:tr>
        <w:trPr>
          <w:cantSplit/>
        </w:trPr>
        <w:tc>
          <w:tcPr>
            <w:tcW w:type="dxa" w:w="8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5"/>
                <w:szCs w:val="15"/>
              </w:rPr>
              <w:t xml:space="preserve">Total</w:t>
            </w:r>
          </w:p>
        </w:tc>
        <w:tc>
          <w:tcPr>
            <w:tcW w:type="dxa" w:w="64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5"/>
                <w:szCs w:val="15"/>
              </w:rPr>
              <w:t xml:space="preserve"/>
            </w:r>
          </w:p>
        </w:tc>
        <w:tc>
          <w:tcPr>
            <w:tcW w:type="dxa" w:w="6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4,958</w:t>
            </w:r>
          </w:p>
        </w:tc>
        <w:tc>
          <w:tcPr>
            <w:tcW w:type="dxa" w:w="7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4,483</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+11%</w:t>
            </w:r>
          </w:p>
        </w:tc>
        <w:tc>
          <w:tcPr>
            <w:tcW w:type="dxa" w:w="10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$4,897,469</w:t>
            </w:r>
          </w:p>
        </w:tc>
        <w:tc>
          <w:tcPr>
            <w:tcW w:type="dxa" w:w="10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$5,040,287</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−3%</w:t>
            </w:r>
          </w:p>
        </w:tc>
        <w:tc>
          <w:tcPr>
            <w:tcW w:type="dxa" w:w="9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1,035</w:t>
            </w:r>
          </w:p>
        </w:tc>
        <w:tc>
          <w:tcPr>
            <w:tcW w:type="dxa" w:w="10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3,923</w:t>
            </w:r>
          </w:p>
        </w:tc>
        <w:tc>
          <w:tcPr>
            <w:tcW w:type="dxa" w:w="10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
            </w:r>
          </w:p>
        </w:tc>
      </w:tr>
    </w:tbl>
    <w:p>
      <w:pPr>
        <w:spacing w:after="160" w:before="60" w:line="276"/>
      </w:pPr>
      <w:r>
        <w:rPr>
          <w:rFonts w:ascii="Calibri" w:cs="Calibri" w:eastAsia="Calibri" w:hAnsi="Calibri"/>
          <w:i/>
          <w:iCs/>
          <w:color w:val="4A5568"/>
          <w:sz w:val="16"/>
          <w:szCs w:val="16"/>
        </w:rPr>
        <w:t xml:space="preserve">Fcst = 2026 Financial Forecast (P&amp;L Full Year Forecast; January–March actual, April–December forecast). Fill rate = share of the rooms that were still free on 30 September 2025 and were sold afterwards. This is the only assumption the 2027 projection makes.</w:t>
      </w:r>
    </w:p>
    <w:p>
      <w:pPr>
        <w:keepNext/>
        <w:spacing w:after="60" w:before="140"/>
      </w:pPr>
      <w:r>
        <w:rPr>
          <w:rFonts w:ascii="Calibri" w:cs="Calibri" w:eastAsia="Calibri" w:hAnsi="Calibri"/>
          <w:b/>
          <w:bCs/>
          <w:color w:val="1A3A5C"/>
          <w:sz w:val="22"/>
          <w:szCs w:val="22"/>
        </w:rPr>
        <w:t xml:space="preserve">Data quality</w:t>
      </w:r>
    </w:p>
    <w:p>
      <w:pPr>
        <w:spacing w:after="120" w:before="0" w:line="276"/>
      </w:pPr>
      <w:r>
        <w:rPr>
          <w:rFonts w:ascii="Calibri" w:cs="Calibri" w:eastAsia="Calibri" w:hAnsi="Calibri"/>
          <w:sz w:val="21"/>
          <w:szCs w:val="21"/>
        </w:rPr>
        <w:t xml:space="preserve">In the eight closed months of 2026, the reservation file (source of STLY, pace and rates) adds up to 99.6% of the room nights in Opera's History &amp; Forecast. The two sources reconcile.</w:t>
      </w:r>
    </w:p>
    <w:p>
      <w:pPr>
        <w:spacing w:after="120" w:before="0" w:line="276"/>
      </w:pPr>
      <w:r>
        <w:rPr>
          <w:rFonts w:ascii="Calibri" w:cs="Calibri" w:eastAsia="Calibri" w:hAnsi="Calibri"/>
          <w:sz w:val="21"/>
          <w:szCs w:val="21"/>
        </w:rPr>
        <w:t xml:space="preserve">One exception: September 2026 shows $43,019 of revenue for 229 RN ($188 per night, against a year average close to $990). Until it is corrected, September 2027 revenue is understated.</w:t>
      </w:r>
    </w:p>
    <w:p>
      <w:pPr>
        <w:keepNext/>
        <w:spacing w:after="60" w:before="140"/>
      </w:pPr>
      <w:r>
        <w:rPr>
          <w:rFonts w:ascii="Calibri" w:cs="Calibri" w:eastAsia="Calibri" w:hAnsi="Calibri"/>
          <w:b/>
          <w:bCs/>
          <w:color w:val="1A3A5C"/>
          <w:sz w:val="22"/>
          <w:szCs w:val="22"/>
        </w:rPr>
        <w:t xml:space="preserve">How CWL books: the booking window</w:t>
      </w:r>
    </w:p>
    <w:p>
      <w:pPr>
        <w:spacing w:after="120" w:before="0" w:line="276"/>
      </w:pPr>
      <w:r>
        <w:rPr>
          <w:rFonts w:ascii="Calibri" w:cs="Calibri" w:eastAsia="Calibri" w:hAnsi="Calibri"/>
          <w:sz w:val="21"/>
          <w:szCs w:val="21"/>
        </w:rPr>
        <w:t xml:space="preserve">CWL is a late-booking property. Thirty days before arrival, only 62–89% of a month's final room nights were on the books in 2026; 120 days out it was 21–41%. That is why the green-season months look thin today without being off track.</w:t>
      </w:r>
    </w:p>
    <w:p>
      <w:pPr>
        <w:keepNext/>
        <w:spacing w:after="60"/>
        <w:jc w:val="center"/>
      </w:pPr>
      <w:r>
        <w:drawing>
          <wp:inline distT="0" distB="0" distL="0" distR="0">
            <wp:extent cx="4937760" cy="18928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1892808"/>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1 — Share of each 2026 month's final room nights already booked X days before the month started. Points before the initial reservation load (1-Sep-2025) are not observable.</w:t>
      </w:r>
    </w:p>
    <w:p>
      <w:pPr>
        <w:pStyle w:val="Heading1"/>
        <w:spacing w:after="160" w:before="240"/>
      </w:pPr>
      <w:r>
        <w:rPr>
          <w:rFonts w:ascii="Calibri" w:cs="Calibri" w:eastAsia="Calibri" w:hAnsi="Calibri"/>
        </w:rPr>
        <w:t xml:space="preserve">4. 2027 Position at a Glance</w:t>
      </w:r>
    </w:p>
    <w:p>
      <w:pPr>
        <w:keepNext/>
        <w:spacing w:after="60"/>
        <w:jc w:val="center"/>
      </w:pPr>
      <w:r>
        <w:drawing>
          <wp:inline distT="0" distB="0" distL="0" distR="0">
            <wp:extent cx="59436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560320"/>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2 — Room nights by month: 2026 close, 2027 on the books today and 2027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20"/>
        <w:gridCol w:w="620"/>
        <w:gridCol w:w="580"/>
        <w:gridCol w:w="600"/>
        <w:gridCol w:w="640"/>
        <w:gridCol w:w="680"/>
        <w:gridCol w:w="700"/>
        <w:gridCol w:w="700"/>
        <w:gridCol w:w="600"/>
        <w:gridCol w:w="1100"/>
        <w:gridCol w:w="700"/>
        <w:gridCol w:w="1100"/>
      </w:tblGrid>
      <w:tr>
        <w:trPr>
          <w:tblHeader/>
        </w:trPr>
        <w:tc>
          <w:tcPr>
            <w:tcW w:type="dxa" w:w="7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Month</w:t>
            </w:r>
          </w:p>
        </w:tc>
        <w:tc>
          <w:tcPr>
            <w:tcW w:type="dxa" w:w="6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Cap.</w:t>
            </w:r>
          </w:p>
        </w:tc>
        <w:tc>
          <w:tcPr>
            <w:tcW w:type="dxa" w:w="62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OTB</w:t>
            </w:r>
          </w:p>
        </w:tc>
        <w:tc>
          <w:tcPr>
            <w:tcW w:type="dxa" w:w="5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Occ.</w:t>
            </w:r>
          </w:p>
        </w:tc>
        <w:tc>
          <w:tcPr>
            <w:tcW w:type="dxa" w:w="6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STLY</w:t>
            </w:r>
          </w:p>
        </w:tc>
        <w:tc>
          <w:tcPr>
            <w:tcW w:type="dxa" w:w="64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Pace</w:t>
            </w:r>
          </w:p>
        </w:tc>
        <w:tc>
          <w:tcPr>
            <w:tcW w:type="dxa" w:w="68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Blocks</w:t>
            </w:r>
          </w:p>
        </w:tc>
        <w:tc>
          <w:tcPr>
            <w:tcW w:type="dxa" w:w="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2026</w:t>
            </w:r>
          </w:p>
        </w:tc>
        <w:tc>
          <w:tcPr>
            <w:tcW w:type="dxa" w:w="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Proj.</w:t>
            </w:r>
          </w:p>
        </w:tc>
        <w:tc>
          <w:tcPr>
            <w:tcW w:type="dxa" w:w="6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Occ.</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Revenue</w:t>
            </w:r>
          </w:p>
        </w:tc>
        <w:tc>
          <w:tcPr>
            <w:tcW w:type="dxa" w:w="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vs 2026</w:t>
            </w:r>
          </w:p>
        </w:tc>
        <w:tc>
          <w:tcPr>
            <w:tcW w:type="dxa" w:w="11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5"/>
                <w:szCs w:val="15"/>
              </w:rPr>
              <w:t xml:space="preserve">Conf.</w:t>
            </w:r>
          </w:p>
        </w:tc>
      </w:tr>
      <w:tr>
        <w:trPr>
          <w:cantSplit/>
        </w:trPr>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Jan</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590</w:t>
            </w:r>
          </w:p>
        </w:tc>
        <w:tc>
          <w:tcPr>
            <w:tcW w:type="dxa" w:w="5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410</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117%</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111</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688</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772</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83%</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$855,285</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1A7F5A"/>
                <w:sz w:val="15"/>
                <w:szCs w:val="15"/>
              </w:rPr>
              <w:t xml:space="preserve">High</w:t>
            </w:r>
          </w:p>
        </w:tc>
      </w:tr>
      <w:tr>
        <w:trPr>
          <w:cantSplit/>
        </w:trPr>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Feb</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840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550</w:t>
            </w:r>
          </w:p>
        </w:tc>
        <w:tc>
          <w:tcPr>
            <w:tcW w:type="dxa" w:w="5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65%</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218</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177%</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164</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684</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767</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91%</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$807,969</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1A7F5A"/>
                <w:sz w:val="15"/>
                <w:szCs w:val="15"/>
              </w:rPr>
              <w:t xml:space="preserve">High</w:t>
            </w:r>
          </w:p>
        </w:tc>
      </w:tr>
      <w:tr>
        <w:trPr>
          <w:cantSplit/>
        </w:trPr>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Mar</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428</w:t>
            </w:r>
          </w:p>
        </w:tc>
        <w:tc>
          <w:tcPr>
            <w:tcW w:type="dxa" w:w="5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46%</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202</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112%</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201</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721</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786</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85%</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$822,555</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B7791F"/>
                <w:sz w:val="15"/>
                <w:szCs w:val="15"/>
              </w:rPr>
              <w:t xml:space="preserve">Medium</w:t>
            </w:r>
          </w:p>
        </w:tc>
      </w:tr>
      <w:tr>
        <w:trPr>
          <w:cantSplit/>
        </w:trPr>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Apr</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900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172</w:t>
            </w:r>
          </w:p>
        </w:tc>
        <w:tc>
          <w:tcPr>
            <w:tcW w:type="dxa" w:w="5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19%</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151%</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63</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503</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551</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$629,356</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B7791F"/>
                <w:sz w:val="15"/>
                <w:szCs w:val="15"/>
              </w:rPr>
              <w:t xml:space="preserve">Medium</w:t>
            </w:r>
          </w:p>
        </w:tc>
      </w:tr>
      <w:tr>
        <w:trPr>
          <w:cantSplit/>
        </w:trPr>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May</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77</w:t>
            </w:r>
          </w:p>
        </w:tc>
        <w:tc>
          <w:tcPr>
            <w:tcW w:type="dxa" w:w="5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47</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74%</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256</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279</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30%</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$226,715</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Low</w:t>
            </w:r>
          </w:p>
        </w:tc>
      </w:tr>
      <w:tr>
        <w:trPr>
          <w:cantSplit/>
        </w:trPr>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Jun</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900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53</w:t>
            </w:r>
          </w:p>
        </w:tc>
        <w:tc>
          <w:tcPr>
            <w:tcW w:type="dxa" w:w="5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284</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314</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35%</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$180,467</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+18%</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Low</w:t>
            </w:r>
          </w:p>
        </w:tc>
      </w:tr>
      <w:tr>
        <w:trPr>
          <w:cantSplit/>
        </w:trPr>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Jul</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324</w:t>
            </w:r>
          </w:p>
        </w:tc>
        <w:tc>
          <w:tcPr>
            <w:tcW w:type="dxa" w:w="5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35%</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21</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143%</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294</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267</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493</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53%</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$493,301</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B7791F"/>
                <w:sz w:val="15"/>
                <w:szCs w:val="15"/>
              </w:rPr>
              <w:t xml:space="preserve">Medium</w:t>
            </w:r>
          </w:p>
        </w:tc>
      </w:tr>
      <w:tr>
        <w:trPr>
          <w:cantSplit/>
        </w:trPr>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Aug</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72</w:t>
            </w:r>
          </w:p>
        </w:tc>
        <w:tc>
          <w:tcPr>
            <w:tcW w:type="dxa" w:w="5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150%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66</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292</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403</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43%</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$370,992</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+33%</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Low</w:t>
            </w:r>
          </w:p>
        </w:tc>
      </w:tr>
      <w:tr>
        <w:trPr>
          <w:cantSplit/>
        </w:trPr>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Sep</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900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5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229*</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326</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36%</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$61,234</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+42%</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Low</w:t>
            </w:r>
          </w:p>
        </w:tc>
      </w:tr>
      <w:tr>
        <w:trPr>
          <w:cantSplit/>
        </w:trPr>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Oct</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5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0</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4A5568"/>
                <w:sz w:val="15"/>
                <w:szCs w:val="15"/>
              </w:rPr>
              <w:t xml:space="preserve">No operation</w:t>
            </w:r>
          </w:p>
        </w:tc>
      </w:tr>
      <w:tr>
        <w:trPr>
          <w:cantSplit/>
        </w:trPr>
        <w:tc>
          <w:tcPr>
            <w:tcW w:type="dxa" w:w="7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Nov</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900</w:t>
            </w:r>
          </w:p>
        </w:tc>
        <w:tc>
          <w:tcPr>
            <w:tcW w:type="dxa" w:w="62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66</w:t>
            </w:r>
          </w:p>
        </w:tc>
        <w:tc>
          <w:tcPr>
            <w:tcW w:type="dxa" w:w="5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43</w:t>
            </w:r>
          </w:p>
        </w:tc>
        <w:tc>
          <w:tcPr>
            <w:tcW w:type="dxa" w:w="64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8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66</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407*</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436</w:t>
            </w:r>
          </w:p>
        </w:tc>
        <w:tc>
          <w:tcPr>
            <w:tcW w:type="dxa" w:w="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48%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$324,536</w:t>
            </w:r>
          </w:p>
        </w:tc>
        <w:tc>
          <w:tcPr>
            <w:tcW w:type="dxa" w:w="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+8%</w:t>
            </w:r>
          </w:p>
        </w:tc>
        <w:tc>
          <w:tcPr>
            <w:tcW w:type="dxa" w:w="11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Low</w:t>
            </w:r>
          </w:p>
        </w:tc>
      </w:tr>
      <w:tr>
        <w:trPr>
          <w:cantSplit/>
        </w:trPr>
        <w:tc>
          <w:tcPr>
            <w:tcW w:type="dxa" w:w="7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5"/>
                <w:szCs w:val="15"/>
              </w:rPr>
              <w:t xml:space="preserve">Dec</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930</w:t>
            </w:r>
          </w:p>
        </w:tc>
        <w:tc>
          <w:tcPr>
            <w:tcW w:type="dxa" w:w="62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105</w:t>
            </w:r>
          </w:p>
        </w:tc>
        <w:tc>
          <w:tcPr>
            <w:tcW w:type="dxa" w:w="5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11%</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5</w:t>
            </w:r>
          </w:p>
        </w:tc>
        <w:tc>
          <w:tcPr>
            <w:tcW w:type="dxa" w:w="64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68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105</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627*</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5"/>
                <w:szCs w:val="15"/>
              </w:rPr>
              <w:t xml:space="preserve">660</w:t>
            </w:r>
          </w:p>
        </w:tc>
        <w:tc>
          <w:tcPr>
            <w:tcW w:type="dxa" w:w="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71%</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$623,542</w:t>
            </w:r>
          </w:p>
        </w:tc>
        <w:tc>
          <w:tcPr>
            <w:tcW w:type="dxa" w:w="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5"/>
                <w:szCs w:val="15"/>
              </w:rPr>
              <w:t xml:space="preserve">0%</w:t>
            </w:r>
          </w:p>
        </w:tc>
        <w:tc>
          <w:tcPr>
            <w:tcW w:type="dxa" w:w="11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color w:val="C0392B"/>
                <w:sz w:val="15"/>
                <w:szCs w:val="15"/>
              </w:rPr>
              <w:t xml:space="preserve">Low</w:t>
            </w:r>
          </w:p>
        </w:tc>
      </w:tr>
      <w:tr>
        <w:trPr>
          <w:cantSplit/>
        </w:trPr>
        <w:tc>
          <w:tcPr>
            <w:tcW w:type="dxa" w:w="7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5"/>
                <w:szCs w:val="15"/>
              </w:rPr>
              <w:t xml:space="preserve">Total</w:t>
            </w:r>
          </w:p>
        </w:tc>
        <w:tc>
          <w:tcPr>
            <w:tcW w:type="dxa" w:w="6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10,950</w:t>
            </w:r>
          </w:p>
        </w:tc>
        <w:tc>
          <w:tcPr>
            <w:tcW w:type="dxa" w:w="62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2,437</w:t>
            </w:r>
          </w:p>
        </w:tc>
        <w:tc>
          <w:tcPr>
            <w:tcW w:type="dxa" w:w="5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22%</w:t>
            </w:r>
          </w:p>
        </w:tc>
        <w:tc>
          <w:tcPr>
            <w:tcW w:type="dxa" w:w="6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1,035</w:t>
            </w:r>
          </w:p>
        </w:tc>
        <w:tc>
          <w:tcPr>
            <w:tcW w:type="dxa" w:w="64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124%</w:t>
            </w:r>
          </w:p>
        </w:tc>
        <w:tc>
          <w:tcPr>
            <w:tcW w:type="dxa" w:w="68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1,154</w:t>
            </w:r>
          </w:p>
        </w:tc>
        <w:tc>
          <w:tcPr>
            <w:tcW w:type="dxa" w:w="7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4,958</w:t>
            </w:r>
          </w:p>
        </w:tc>
        <w:tc>
          <w:tcPr>
            <w:tcW w:type="dxa" w:w="7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5,786</w:t>
            </w:r>
          </w:p>
        </w:tc>
        <w:tc>
          <w:tcPr>
            <w:tcW w:type="dxa" w:w="6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53%</w:t>
            </w:r>
          </w:p>
        </w:tc>
        <w:tc>
          <w:tcPr>
            <w:tcW w:type="dxa" w:w="11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$5,395,951</w:t>
            </w:r>
          </w:p>
        </w:tc>
        <w:tc>
          <w:tcPr>
            <w:tcW w:type="dxa" w:w="7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+10%</w:t>
            </w:r>
          </w:p>
        </w:tc>
        <w:tc>
          <w:tcPr>
            <w:tcW w:type="dxa" w:w="11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5"/>
                <w:szCs w:val="15"/>
              </w:rPr>
              <w:t xml:space="preserve"/>
            </w:r>
          </w:p>
        </w:tc>
      </w:tr>
    </w:tbl>
    <w:p>
      <w:pPr>
        <w:spacing w:after="160" w:before="60" w:line="276"/>
      </w:pPr>
      <w:r>
        <w:rPr>
          <w:rFonts w:ascii="Calibri" w:cs="Calibri" w:eastAsia="Calibri" w:hAnsi="Calibri"/>
          <w:i/>
          <w:iCs/>
          <w:color w:val="4A5568"/>
          <w:sz w:val="15"/>
          <w:szCs w:val="15"/>
        </w:rPr>
        <w:t xml:space="preserve">OTB = on the books today. STLY = on the books for the same month on 30-Sep-2025. Pace = individual reservations ÷ STLY (excludes group blocks). * = 2026 month not yet closed (projection used).</w:t>
      </w:r>
    </w:p>
    <w:p>
      <w:pPr>
        <w:keepNext/>
        <w:spacing w:after="60"/>
        <w:jc w:val="center"/>
      </w:pPr>
      <w:r>
        <w:drawing>
          <wp:inline distT="0" distB="0" distL="0" distR="0">
            <wp:extent cx="594360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377440"/>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3 — Total revenue by month: 2026 versus 2027 projection (US$ thousands).</w:t>
      </w:r>
    </w:p>
    <w:p>
      <w:pPr>
        <w:keepNext/>
        <w:spacing w:after="60" w:before="140"/>
      </w:pPr>
      <w:r>
        <w:rPr>
          <w:rFonts w:ascii="Calibri" w:cs="Calibri" w:eastAsia="Calibri" w:hAnsi="Calibri"/>
          <w:b/>
          <w:bCs/>
          <w:color w:val="1A3A5C"/>
          <w:sz w:val="22"/>
          <w:szCs w:val="22"/>
        </w:rPr>
        <w:t xml:space="preserve">Seasonal reading</w:t>
      </w:r>
    </w:p>
    <w:p>
      <w:pPr>
        <w:pStyle w:val="ListParagraph"/>
        <w:numPr>
          <w:ilvl w:val="0"/>
          <w:numId w:val="2"/>
        </w:numPr>
        <w:spacing w:after="70" w:line="264"/>
      </w:pPr>
      <w:r>
        <w:rPr>
          <w:rFonts w:ascii="Calibri" w:cs="Calibri" w:eastAsia="Calibri" w:hAnsi="Calibri"/>
          <w:sz w:val="21"/>
          <w:szCs w:val="21"/>
        </w:rPr>
        <w:t xml:space="preserve">High season (January–April): 2,876 RN and $3,115,165, 58% of the year's projected revenue. January–March is already 54–76% secured.</w:t>
      </w:r>
    </w:p>
    <w:p>
      <w:pPr>
        <w:pStyle w:val="ListParagraph"/>
        <w:numPr>
          <w:ilvl w:val="0"/>
          <w:numId w:val="2"/>
        </w:numPr>
        <w:spacing w:after="70" w:line="264"/>
      </w:pPr>
      <w:r>
        <w:rPr>
          <w:rFonts w:ascii="Calibri" w:cs="Calibri" w:eastAsia="Calibri" w:hAnsi="Calibri"/>
          <w:sz w:val="21"/>
          <w:szCs w:val="21"/>
        </w:rPr>
        <w:t xml:space="preserve">Green season (May–September): 1,814 RN and $1,332,708. July is held up by a 294 RN group block. The other months are below 10% on the books today, which is normal for a late-booking property but needs commercial support.</w:t>
      </w:r>
    </w:p>
    <w:p>
      <w:pPr>
        <w:pStyle w:val="ListParagraph"/>
        <w:numPr>
          <w:ilvl w:val="0"/>
          <w:numId w:val="2"/>
        </w:numPr>
        <w:spacing w:after="70" w:line="264"/>
      </w:pPr>
      <w:r>
        <w:rPr>
          <w:rFonts w:ascii="Calibri" w:cs="Calibri" w:eastAsia="Calibri" w:hAnsi="Calibri"/>
          <w:sz w:val="21"/>
          <w:szCs w:val="21"/>
        </w:rPr>
        <w:t xml:space="preserve">Year-end (November–December): 1,096 RN and $948,078. Only group blocks are on the books, and the 2026 reference for these months is still a projection.</w:t>
      </w:r>
    </w:p>
    <w:p>
      <w:r>
        <w:br w:type="page"/>
      </w:r>
    </w:p>
    <w:p>
      <w:pPr>
        <w:pStyle w:val="Heading1"/>
        <w:spacing w:after="160" w:before="240"/>
      </w:pPr>
      <w:r>
        <w:rPr>
          <w:rFonts w:ascii="Calibri" w:cs="Calibri" w:eastAsia="Calibri" w:hAnsi="Calibri"/>
        </w:rPr>
        <w:t xml:space="preserve">5. Why the Projection Is a Reliable Planning Parameter</w:t>
      </w:r>
    </w:p>
    <w:p>
      <w:pPr>
        <w:spacing w:after="120" w:before="0" w:line="276"/>
      </w:pPr>
      <w:r>
        <w:rPr>
          <w:rFonts w:ascii="Calibri" w:cs="Calibri" w:eastAsia="Calibri" w:hAnsi="Calibri"/>
          <w:sz w:val="21"/>
          <w:szCs w:val="21"/>
        </w:rPr>
        <w:t xml:space="preserve">The projection is not a target and is not set by hand. It starts from the reservations already on the books and adds, month by month, only the share of free rooms that 2026 filled from the same date. Six pieces of evidence support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w:t>
            </w:r>
          </w:p>
        </w:tc>
        <w:tc>
          <w:tcPr>
            <w:tcW w:type="dxa" w:w="26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Evidence</w:t>
            </w:r>
          </w:p>
        </w:tc>
        <w:tc>
          <w:tcPr>
            <w:tcW w:type="dxa" w:w="6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7"/>
                <w:szCs w:val="17"/>
              </w:rPr>
              <w:t xml:space="preserve">What the data shows</w:t>
            </w:r>
          </w:p>
        </w:tc>
      </w:tr>
      <w:tr>
        <w:trPr>
          <w:cantSplit/>
        </w:trPr>
        <w:tc>
          <w:tcPr>
            <w:tcW w:type="dxa" w:w="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1</w:t>
            </w:r>
          </w:p>
        </w:tc>
        <w:tc>
          <w:tcPr>
            <w:tcW w:type="dxa" w:w="2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bCs/>
                <w:sz w:val="17"/>
                <w:szCs w:val="17"/>
              </w:rPr>
              <w:t xml:space="preserve">It comes from actual behaviour, not an assumption</w:t>
            </w:r>
          </w:p>
        </w:tc>
        <w:tc>
          <w:tcPr>
            <w:tcW w:type="dxa" w:w="6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Each month starts from what is already on the books and adds only the share of free rooms that 2026 filled from this same date. There are no hand-entered growth rates.</w:t>
            </w:r>
          </w:p>
        </w:tc>
      </w:tr>
      <w:tr>
        <w:trPr>
          <w:cantSplit/>
        </w:trPr>
        <w:tc>
          <w:tcPr>
            <w:tcW w:type="dxa" w:w="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2</w:t>
            </w:r>
          </w:p>
        </w:tc>
        <w:tc>
          <w:tcPr>
            <w:tcW w:type="dxa" w:w="2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bCs/>
                <w:sz w:val="17"/>
                <w:szCs w:val="17"/>
              </w:rPr>
              <w:t xml:space="preserve">The data reconciles</w:t>
            </w:r>
          </w:p>
        </w:tc>
        <w:tc>
          <w:tcPr>
            <w:tcW w:type="dxa" w:w="6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In the 8 closed months of 2026, the reservations (source of STLY and pace) add up to 99.6% of the room nights in Opera's History &amp; Forecast.</w:t>
            </w:r>
          </w:p>
        </w:tc>
      </w:tr>
      <w:tr>
        <w:trPr>
          <w:cantSplit/>
        </w:trPr>
        <w:tc>
          <w:tcPr>
            <w:tcW w:type="dxa" w:w="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3</w:t>
            </w:r>
          </w:p>
        </w:tc>
        <w:tc>
          <w:tcPr>
            <w:tcW w:type="dxa" w:w="2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bCs/>
                <w:sz w:val="17"/>
                <w:szCs w:val="17"/>
              </w:rPr>
              <w:t xml:space="preserve">It is prudent against other methods</w:t>
            </w:r>
          </w:p>
        </w:tc>
        <w:tc>
          <w:tcPr>
            <w:tcW w:type="dxa" w:w="6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With the same data, three standard methods give: availability 5,786 RN · add pickup 6,212 RN · multiply by pace 8,498 RN. The projection used (availability) is the most conservative: it does not multiply the pace and cannot exceed available rooms.</w:t>
            </w:r>
          </w:p>
        </w:tc>
      </w:tr>
      <w:tr>
        <w:trPr>
          <w:cantSplit/>
        </w:trPr>
        <w:tc>
          <w:tcPr>
            <w:tcW w:type="dxa" w:w="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4</w:t>
            </w:r>
          </w:p>
        </w:tc>
        <w:tc>
          <w:tcPr>
            <w:tcW w:type="dxa" w:w="2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bCs/>
                <w:sz w:val="17"/>
                <w:szCs w:val="17"/>
              </w:rPr>
              <w:t xml:space="preserve">It asks for less than was already achieved</w:t>
            </w:r>
          </w:p>
        </w:tc>
        <w:tc>
          <w:tcPr>
            <w:tcW w:type="dxa" w:w="6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The pickup still needed (3,349 RN) is 85% of what 2026 achieved from the same date (3,923 RN).</w:t>
            </w:r>
          </w:p>
        </w:tc>
      </w:tr>
      <w:tr>
        <w:trPr>
          <w:cantSplit/>
        </w:trPr>
        <w:tc>
          <w:tcPr>
            <w:tcW w:type="dxa" w:w="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5</w:t>
            </w:r>
          </w:p>
        </w:tc>
        <w:tc>
          <w:tcPr>
            <w:tcW w:type="dxa" w:w="2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bCs/>
                <w:sz w:val="17"/>
                <w:szCs w:val="17"/>
              </w:rPr>
              <w:t xml:space="preserve">A large part is already secured</w:t>
            </w:r>
          </w:p>
        </w:tc>
        <w:tc>
          <w:tcPr>
            <w:tcW w:type="dxa" w:w="6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7"/>
                <w:szCs w:val="17"/>
              </w:rPr>
              <w:t xml:space="preserve">2,437 of the 5,786 projected RN (42%) are already reservations on the books worth $2,253,556.</w:t>
            </w:r>
          </w:p>
        </w:tc>
      </w:tr>
      <w:tr>
        <w:trPr>
          <w:cantSplit/>
        </w:trPr>
        <w:tc>
          <w:tcPr>
            <w:tcW w:type="dxa" w:w="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7"/>
                <w:szCs w:val="17"/>
              </w:rPr>
              <w:t xml:space="preserve">6</w:t>
            </w:r>
          </w:p>
        </w:tc>
        <w:tc>
          <w:tcPr>
            <w:tcW w:type="dxa" w:w="2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7"/>
                <w:szCs w:val="17"/>
              </w:rPr>
              <w:t xml:space="preserve">It is scored month by month</w:t>
            </w:r>
          </w:p>
        </w:tc>
        <w:tc>
          <w:tcPr>
            <w:tcW w:type="dxa" w:w="6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7"/>
                <w:szCs w:val="17"/>
              </w:rPr>
              <w:t xml:space="preserve">Confidence by month: 2 high, 3 medium, 6 low (see 'Monthly analysis').</w:t>
            </w:r>
          </w:p>
        </w:tc>
      </w:tr>
    </w:tbl>
    <w:p>
      <w:pPr>
        <w:spacing w:after="160"/>
      </w:pPr>
    </w:p>
    <w:p>
      <w:pPr>
        <w:keepNext/>
        <w:spacing w:after="60"/>
        <w:jc w:val="center"/>
      </w:pPr>
      <w:r>
        <w:drawing>
          <wp:inline distT="0" distB="0" distL="0" distR="0">
            <wp:extent cx="475488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4880" cy="1828800"/>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4 — Full-year 2027 room nights under three standard pacing methods, against the 2026 close. The method used is the lowest of the three.</w:t>
      </w:r>
    </w:p>
    <w:p>
      <w:pPr>
        <w:keepNext/>
        <w:spacing w:after="60"/>
        <w:jc w:val="center"/>
      </w:pPr>
      <w:r>
        <w:drawing>
          <wp:inline distT="0" distB="0" distL="0" distR="0">
            <wp:extent cx="5120640" cy="2048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2048256"/>
                    </a:xfrm>
                    <a:prstGeom prst="rect">
                      <a:avLst/>
                    </a:prstGeom>
                  </pic:spPr>
                </pic:pic>
              </a:graphicData>
            </a:graphic>
          </wp:inline>
        </w:drawing>
      </w:r>
    </w:p>
    <w:p>
      <w:pPr>
        <w:spacing w:after="200" w:before="0" w:line="276"/>
        <w:jc w:val="center"/>
      </w:pPr>
      <w:r>
        <w:rPr>
          <w:rFonts w:ascii="Calibri" w:cs="Calibri" w:eastAsia="Calibri" w:hAnsi="Calibri"/>
          <w:i/>
          <w:iCs/>
          <w:color w:val="4A5568"/>
          <w:sz w:val="17"/>
          <w:szCs w:val="17"/>
        </w:rPr>
        <w:t xml:space="preserve">Figure 5 — Per month: share of the projection already on the books (blue) and effort required, i.e. pickup still needed ÷ pickup 2026 achieved from the same date (green ≤ 90%, amber 90–110%, red &gt; 110%).</w:t>
      </w:r>
    </w:p>
    <w:p>
      <w:pPr>
        <w:keepNext/>
        <w:spacing w:after="60" w:before="140"/>
      </w:pPr>
      <w:r>
        <w:rPr>
          <w:rFonts w:ascii="Calibri" w:cs="Calibri" w:eastAsia="Calibri" w:hAnsi="Calibri"/>
          <w:b/>
          <w:bCs/>
          <w:color w:val="1A3A5C"/>
          <w:sz w:val="22"/>
          <w:szCs w:val="22"/>
        </w:rPr>
        <w:t xml:space="preserve">Limits the Board should be aware of</w:t>
      </w:r>
    </w:p>
    <w:p>
      <w:pPr>
        <w:pStyle w:val="ListParagraph"/>
        <w:numPr>
          <w:ilvl w:val="0"/>
          <w:numId w:val="2"/>
        </w:numPr>
        <w:spacing w:after="70" w:line="264"/>
      </w:pPr>
      <w:r>
        <w:rPr>
          <w:rFonts w:ascii="Calibri" w:cs="Calibri" w:eastAsia="Calibri" w:hAnsi="Calibri"/>
          <w:sz w:val="21"/>
          <w:szCs w:val="21"/>
        </w:rPr>
        <w:t xml:space="preserve">3 months of 2026 have not closed yet: their reference is the 2026 projection, not an actual.</w:t>
      </w:r>
    </w:p>
    <w:p>
      <w:pPr>
        <w:pStyle w:val="ListParagraph"/>
        <w:numPr>
          <w:ilvl w:val="0"/>
          <w:numId w:val="2"/>
        </w:numPr>
        <w:spacing w:after="70" w:line="264"/>
      </w:pPr>
      <w:r>
        <w:rPr>
          <w:rFonts w:ascii="Calibri" w:cs="Calibri" w:eastAsia="Calibri" w:hAnsi="Calibri"/>
          <w:sz w:val="21"/>
          <w:szCs w:val="21"/>
        </w:rPr>
        <w:t xml:space="preserve">A full back-test (projecting a closed year and comparing) needs two years of reservation history; there is one today. As each month of 2027 closes, the method's accuracy can be measured.</w:t>
      </w:r>
    </w:p>
    <w:p>
      <w:pPr>
        <w:pStyle w:val="ListParagraph"/>
        <w:numPr>
          <w:ilvl w:val="0"/>
          <w:numId w:val="2"/>
        </w:numPr>
        <w:spacing w:after="70" w:line="264"/>
      </w:pPr>
      <w:r>
        <w:rPr>
          <w:rFonts w:ascii="Calibri" w:cs="Calibri" w:eastAsia="Calibri" w:hAnsi="Calibri"/>
          <w:sz w:val="21"/>
          <w:szCs w:val="21"/>
        </w:rPr>
        <w:t xml:space="preserve">Prior-year pickup windows of 30 days or more include the initial reservation load and are not comparable.</w:t>
      </w:r>
    </w:p>
    <w:p>
      <w:pPr>
        <w:pStyle w:val="ListParagraph"/>
        <w:numPr>
          <w:ilvl w:val="0"/>
          <w:numId w:val="2"/>
        </w:numPr>
        <w:spacing w:after="70" w:line="264"/>
      </w:pPr>
      <w:r>
        <w:rPr>
          <w:rFonts w:ascii="Calibri" w:cs="Calibri" w:eastAsia="Calibri" w:hAnsi="Calibri"/>
          <w:sz w:val="21"/>
          <w:szCs w:val="21"/>
        </w:rPr>
        <w:t xml:space="preserve">Revenue includes an estimate of on-site spend (12% of room revenue, a Finance assumption).</w:t>
      </w:r>
    </w:p>
    <w:p>
      <w:pPr>
        <w:pStyle w:val="Heading1"/>
        <w:spacing w:after="160" w:before="240"/>
      </w:pPr>
      <w:r>
        <w:rPr>
          <w:rFonts w:ascii="Calibri" w:cs="Calibri" w:eastAsia="Calibri" w:hAnsi="Calibri"/>
        </w:rPr>
        <w:t xml:space="preserve">6. Month-by-Month Analysis</w:t>
      </w:r>
    </w:p>
    <w:p>
      <w:pPr>
        <w:spacing w:after="120" w:before="0" w:line="276"/>
      </w:pPr>
      <w:r>
        <w:rPr>
          <w:rFonts w:ascii="Calibri" w:cs="Calibri" w:eastAsia="Calibri" w:hAnsi="Calibri"/>
          <w:sz w:val="21"/>
          <w:szCs w:val="21"/>
        </w:rPr>
        <w:t xml:space="preserve">Each month shows its key figures, a Finance assessment, its strengths and risks, and recommended actions. Confidence scores how much of the month is secured, the effort it needs against 2026, whether the reference is an actual close, the pace, the weight of group blocks and the quality of the reference rate.</w:t>
      </w:r>
    </w:p>
    <w:p>
      <w:pPr>
        <w:pStyle w:val="Heading2"/>
        <w:keepNext/>
        <w:spacing w:after="80" w:before="160"/>
      </w:pPr>
      <w:r>
        <w:rPr>
          <w:rFonts w:ascii="Calibri" w:cs="Calibri" w:eastAsia="Calibri" w:hAnsi="Calibri"/>
        </w:rPr>
        <w:t xml:space="preserve">January 2027</w:t>
      </w:r>
      <w:r>
        <w:rPr>
          <w:rFonts w:ascii="Calibri" w:cs="Calibri" w:eastAsia="Calibri" w:hAnsi="Calibri"/>
          <w:b/>
          <w:bCs/>
          <w:color w:val="1A7F5A"/>
          <w:sz w:val="20"/>
          <w:szCs w:val="20"/>
        </w:rPr>
        <w:t xml:space="preserve">   Confidence: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590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410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117%</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688</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772</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83.0%</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$855,285</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182</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65%</w:t>
            </w:r>
          </w:p>
        </w:tc>
      </w:tr>
    </w:tbl>
    <w:p>
      <w:pPr>
        <w:spacing w:after="60"/>
      </w:pPr>
    </w:p>
    <w:p>
      <w:pPr>
        <w:spacing w:after="80" w:before="0" w:line="276"/>
      </w:pPr>
      <w:r>
        <w:rPr>
          <w:rFonts w:ascii="Calibri" w:cs="Calibri" w:eastAsia="Calibri" w:hAnsi="Calibri"/>
          <w:sz w:val="21"/>
          <w:szCs w:val="21"/>
        </w:rPr>
        <w:t xml:space="preserve">590 room nights are on the books (63.4% occupancy) against 410 at the same date last year. The projection is 772 RN (83.0% occupancy) and $855,285 of revenue, +12% in nights and −1% in revenue versus January 2026 (actual close: 688 RN, $862,234).</w:t>
      </w:r>
    </w:p>
    <w:p>
      <w:pPr>
        <w:spacing w:after="80" w:before="0" w:line="276"/>
      </w:pPr>
      <w:r>
        <w:rPr>
          <w:rFonts w:ascii="Calibri" w:cs="Calibri" w:eastAsia="Calibri" w:hAnsi="Calibri"/>
          <w:sz w:val="21"/>
          <w:szCs w:val="21"/>
        </w:rPr>
        <w:t xml:space="preserve">To reach the projection 182 RN still need to be booked, about 10 per week until month-end. That is 65% of the 278 RN that January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479 vs 410 (pace 117%).</w:t>
      </w:r>
    </w:p>
    <w:p>
      <w:pPr>
        <w:pStyle w:val="ListParagraph"/>
        <w:numPr>
          <w:ilvl w:val="0"/>
          <w:numId w:val="2"/>
        </w:numPr>
        <w:spacing w:after="70" w:line="264"/>
      </w:pPr>
      <w:r>
        <w:rPr>
          <w:rFonts w:ascii="Calibri" w:cs="Calibri" w:eastAsia="Calibri" w:hAnsi="Calibri"/>
          <w:sz w:val="21"/>
          <w:szCs w:val="21"/>
        </w:rPr>
        <w:t xml:space="preserve">76% of the projection is already secured.</w:t>
      </w:r>
    </w:p>
    <w:p>
      <w:pPr>
        <w:pStyle w:val="ListParagraph"/>
        <w:numPr>
          <w:ilvl w:val="0"/>
          <w:numId w:val="2"/>
        </w:numPr>
        <w:spacing w:after="70" w:line="264"/>
      </w:pPr>
      <w:r>
        <w:rPr>
          <w:rFonts w:ascii="Calibri" w:cs="Calibri" w:eastAsia="Calibri" w:hAnsi="Calibri"/>
          <w:sz w:val="21"/>
          <w:szCs w:val="21"/>
        </w:rPr>
        <w:t xml:space="preserve">Booked rate is $742 per night, 14.5% above the rate booked a year ago ($648).</w:t>
      </w:r>
    </w:p>
    <w:p>
      <w:pPr>
        <w:pStyle w:val="ListParagraph"/>
        <w:numPr>
          <w:ilvl w:val="0"/>
          <w:numId w:val="2"/>
        </w:numPr>
        <w:spacing w:after="70" w:line="264"/>
      </w:pPr>
      <w:r>
        <w:rPr>
          <w:rFonts w:ascii="Calibri" w:cs="Calibri" w:eastAsia="Calibri" w:hAnsi="Calibri"/>
          <w:sz w:val="21"/>
          <w:szCs w:val="21"/>
        </w:rPr>
        <w:t xml:space="preserve">The pickup required is below what was achieved in 2026 from the same date.</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Cancellations: 130 RN cancelled so far (21% of what was booked), above last year's 12%.</w:t>
      </w:r>
    </w:p>
    <w:p>
      <w:pPr>
        <w:pStyle w:val="ListParagraph"/>
        <w:numPr>
          <w:ilvl w:val="0"/>
          <w:numId w:val="2"/>
        </w:numPr>
        <w:spacing w:after="70" w:line="264"/>
      </w:pPr>
      <w:r>
        <w:rPr>
          <w:rFonts w:ascii="Calibri" w:cs="Calibri" w:eastAsia="Calibri" w:hAnsi="Calibri"/>
          <w:sz w:val="21"/>
          <w:szCs w:val="21"/>
        </w:rPr>
        <w:t xml:space="preserve">27 RN are held with weak or no guarantee.</w:t>
      </w:r>
    </w:p>
    <w:p>
      <w:pPr>
        <w:pStyle w:val="ListParagraph"/>
        <w:numPr>
          <w:ilvl w:val="0"/>
          <w:numId w:val="2"/>
        </w:numPr>
        <w:spacing w:after="70" w:line="264"/>
      </w:pPr>
      <w:r>
        <w:rPr>
          <w:rFonts w:ascii="Calibri" w:cs="Calibri" w:eastAsia="Calibri" w:hAnsi="Calibri"/>
          <w:sz w:val="21"/>
          <w:szCs w:val="21"/>
        </w:rPr>
        <w:t xml:space="preserve">12 HOLD reservations (54 RN) are blocking inventory and should be confirmed or released.</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Rate discipline on a high-demand month: hold or increase rates on peak dates and apply minimum-stay rules; do not discount to fill the last rooms.</w:t>
      </w:r>
    </w:p>
    <w:p>
      <w:pPr>
        <w:pStyle w:val="ListParagraph"/>
        <w:numPr>
          <w:ilvl w:val="0"/>
          <w:numId w:val="2"/>
        </w:numPr>
        <w:spacing w:after="70" w:line="264"/>
      </w:pPr>
      <w:r>
        <w:rPr>
          <w:rFonts w:ascii="Calibri" w:cs="Calibri" w:eastAsia="Calibri" w:hAnsi="Calibri"/>
          <w:sz w:val="21"/>
          <w:szCs w:val="21"/>
        </w:rPr>
        <w:t xml:space="preserve">Review 15 reservations flagged for rate or guarantee issues (potential recovery $10,619–$15,021).</w:t>
      </w:r>
    </w:p>
    <w:p>
      <w:pPr>
        <w:pStyle w:val="ListParagraph"/>
        <w:numPr>
          <w:ilvl w:val="0"/>
          <w:numId w:val="2"/>
        </w:numPr>
        <w:spacing w:after="70" w:line="264"/>
      </w:pPr>
      <w:r>
        <w:rPr>
          <w:rFonts w:ascii="Calibri" w:cs="Calibri" w:eastAsia="Calibri" w:hAnsi="Calibri"/>
          <w:sz w:val="21"/>
          <w:szCs w:val="21"/>
        </w:rPr>
        <w:t xml:space="preserve">Focus pickup on nights 29–31: the least-covered week, 54 RN booked against 76 RN sold in the same nights of 2026.</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$74,771</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57</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97</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SERVICIO DE VIAJER</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44</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$28,878</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83</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91</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AGENCIA DE VIAJES</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41</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$29,042</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56</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65</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$5,317</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81</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44</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$58,567</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18</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39</w:t>
            </w:r>
          </w:p>
        </w:tc>
      </w:tr>
    </w:tbl>
    <w:p>
      <w:pPr>
        <w:pStyle w:val="Heading2"/>
        <w:keepNext/>
        <w:spacing w:after="80" w:before="320"/>
      </w:pPr>
      <w:r>
        <w:rPr>
          <w:rFonts w:ascii="Calibri" w:cs="Calibri" w:eastAsia="Calibri" w:hAnsi="Calibri"/>
        </w:rPr>
        <w:t xml:space="preserve">February 2027</w:t>
      </w:r>
      <w:r>
        <w:rPr>
          <w:rFonts w:ascii="Calibri" w:cs="Calibri" w:eastAsia="Calibri" w:hAnsi="Calibri"/>
          <w:b/>
          <w:bCs/>
          <w:color w:val="1A7F5A"/>
          <w:sz w:val="20"/>
          <w:szCs w:val="20"/>
        </w:rPr>
        <w:t xml:space="preserve">   Confidence: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550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218</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177%</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684</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767</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91.3%</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$807,969</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72%</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217</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47%</w:t>
            </w:r>
          </w:p>
        </w:tc>
      </w:tr>
    </w:tbl>
    <w:p>
      <w:pPr>
        <w:spacing w:after="60"/>
      </w:pPr>
    </w:p>
    <w:p>
      <w:pPr>
        <w:spacing w:after="80" w:before="0" w:line="276"/>
      </w:pPr>
      <w:r>
        <w:rPr>
          <w:rFonts w:ascii="Calibri" w:cs="Calibri" w:eastAsia="Calibri" w:hAnsi="Calibri"/>
          <w:sz w:val="21"/>
          <w:szCs w:val="21"/>
        </w:rPr>
        <w:t xml:space="preserve">550 room nights are on the books (65.5% occupancy) against 218 at the same date last year. The projection is 767 RN (91.3% occupancy) and $807,969 of revenue, +12% in nights and +5% in revenue versus February 2026 (actual close: 684 RN, $766,156).</w:t>
      </w:r>
    </w:p>
    <w:p>
      <w:pPr>
        <w:spacing w:after="80" w:before="0" w:line="276"/>
      </w:pPr>
      <w:r>
        <w:rPr>
          <w:rFonts w:ascii="Calibri" w:cs="Calibri" w:eastAsia="Calibri" w:hAnsi="Calibri"/>
          <w:sz w:val="21"/>
          <w:szCs w:val="21"/>
        </w:rPr>
        <w:t xml:space="preserve">To reach the projection 217 RN still need to be booked, about 10 per week until month-end. That is 47% of the 466 RN that February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386 vs 218 (pace 177%).</w:t>
      </w:r>
    </w:p>
    <w:p>
      <w:pPr>
        <w:pStyle w:val="ListParagraph"/>
        <w:numPr>
          <w:ilvl w:val="0"/>
          <w:numId w:val="2"/>
        </w:numPr>
        <w:spacing w:after="70" w:line="264"/>
      </w:pPr>
      <w:r>
        <w:rPr>
          <w:rFonts w:ascii="Calibri" w:cs="Calibri" w:eastAsia="Calibri" w:hAnsi="Calibri"/>
          <w:sz w:val="21"/>
          <w:szCs w:val="21"/>
        </w:rPr>
        <w:t xml:space="preserve">72% of the projection is already secured.</w:t>
      </w:r>
    </w:p>
    <w:p>
      <w:pPr>
        <w:pStyle w:val="ListParagraph"/>
        <w:numPr>
          <w:ilvl w:val="0"/>
          <w:numId w:val="2"/>
        </w:numPr>
        <w:spacing w:after="70" w:line="264"/>
      </w:pPr>
      <w:r>
        <w:rPr>
          <w:rFonts w:ascii="Calibri" w:cs="Calibri" w:eastAsia="Calibri" w:hAnsi="Calibri"/>
          <w:sz w:val="21"/>
          <w:szCs w:val="21"/>
        </w:rPr>
        <w:t xml:space="preserve">Booked rate is $734 per night, 15.8% above the rate booked a year ago ($634).</w:t>
      </w:r>
    </w:p>
    <w:p>
      <w:pPr>
        <w:pStyle w:val="ListParagraph"/>
        <w:numPr>
          <w:ilvl w:val="0"/>
          <w:numId w:val="2"/>
        </w:numPr>
        <w:spacing w:after="70" w:line="264"/>
      </w:pPr>
      <w:r>
        <w:rPr>
          <w:rFonts w:ascii="Calibri" w:cs="Calibri" w:eastAsia="Calibri" w:hAnsi="Calibri"/>
          <w:sz w:val="21"/>
          <w:szCs w:val="21"/>
        </w:rPr>
        <w:t xml:space="preserve">The pickup required is below what was achieved in 2026 from the same date.</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164 RN (30% of the books) are group blocks without a rooming list; their release is the main swing factor.</w:t>
      </w:r>
    </w:p>
    <w:p>
      <w:pPr>
        <w:pStyle w:val="ListParagraph"/>
        <w:numPr>
          <w:ilvl w:val="0"/>
          <w:numId w:val="2"/>
        </w:numPr>
        <w:spacing w:after="70" w:line="264"/>
      </w:pPr>
      <w:r>
        <w:rPr>
          <w:rFonts w:ascii="Calibri" w:cs="Calibri" w:eastAsia="Calibri" w:hAnsi="Calibri"/>
          <w:sz w:val="21"/>
          <w:szCs w:val="21"/>
        </w:rPr>
        <w:t xml:space="preserve">3 HOLD reservations (10 RN) are blocking inventory and should be confirmed or released.</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Rate discipline on a high-demand month: hold or increase rates on peak dates and apply minimum-stay rules; do not discount to fill the last rooms.</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164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Review 13 reservations flagged for rate or guarantee issues (potential recovery $13,989–$25,601).</w:t>
      </w:r>
    </w:p>
    <w:p>
      <w:pPr>
        <w:pStyle w:val="ListParagraph"/>
        <w:numPr>
          <w:ilvl w:val="0"/>
          <w:numId w:val="2"/>
        </w:numPr>
        <w:spacing w:after="70" w:line="264"/>
      </w:pPr>
      <w:r>
        <w:rPr>
          <w:rFonts w:ascii="Calibri" w:cs="Calibri" w:eastAsia="Calibri" w:hAnsi="Calibri"/>
          <w:sz w:val="21"/>
          <w:szCs w:val="21"/>
        </w:rPr>
        <w:t xml:space="preserve">Focus pickup on nights 8–14: the least-covered week, 122 RN booked against 184 RN sold in the same nights of 2026.</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SERVICIO DE VIAJER</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91</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$49,569</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53</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100</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49</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$29,040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24</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108</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$6,555</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90</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TRAVEL EXCELLENCE</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29</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$17,423</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37</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62</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AGENCIA DE VIAJES</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$13,166</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35</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56</w:t>
            </w:r>
          </w:p>
        </w:tc>
      </w:tr>
    </w:tbl>
    <w:p>
      <w:pPr>
        <w:pStyle w:val="Heading2"/>
        <w:keepNext/>
        <w:spacing w:after="80" w:before="320"/>
      </w:pPr>
      <w:r>
        <w:rPr>
          <w:rFonts w:ascii="Calibri" w:cs="Calibri" w:eastAsia="Calibri" w:hAnsi="Calibri"/>
        </w:rPr>
        <w:t xml:space="preserve">March 2027</w:t>
      </w:r>
      <w:r>
        <w:rPr>
          <w:rFonts w:ascii="Calibri" w:cs="Calibri" w:eastAsia="Calibri" w:hAnsi="Calibri"/>
          <w:b/>
          <w:bCs/>
          <w:color w:val="B7791F"/>
          <w:sz w:val="20"/>
          <w:szCs w:val="20"/>
        </w:rPr>
        <w:t xml:space="preserve">   Confidence: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428</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202</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112%</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721</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786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84.5%</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$822,555</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54%</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358</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69%</w:t>
            </w:r>
          </w:p>
        </w:tc>
      </w:tr>
    </w:tbl>
    <w:p>
      <w:pPr>
        <w:spacing w:after="60"/>
      </w:pPr>
    </w:p>
    <w:p>
      <w:pPr>
        <w:spacing w:after="80" w:before="0" w:line="276"/>
      </w:pPr>
      <w:r>
        <w:rPr>
          <w:rFonts w:ascii="Calibri" w:cs="Calibri" w:eastAsia="Calibri" w:hAnsi="Calibri"/>
          <w:sz w:val="21"/>
          <w:szCs w:val="21"/>
        </w:rPr>
        <w:t xml:space="preserve">428 room nights are on the books (46.0% occupancy) against 202 at the same date last year. The projection is 786 RN (84.5% occupancy) and $822,555 of revenue, +9% in nights and +4% in revenue versus March 2026 (actual close: 721 RN, $788,508).</w:t>
      </w:r>
    </w:p>
    <w:p>
      <w:pPr>
        <w:spacing w:after="80" w:before="0" w:line="276"/>
      </w:pPr>
      <w:r>
        <w:rPr>
          <w:rFonts w:ascii="Calibri" w:cs="Calibri" w:eastAsia="Calibri" w:hAnsi="Calibri"/>
          <w:sz w:val="21"/>
          <w:szCs w:val="21"/>
        </w:rPr>
        <w:t xml:space="preserve">To reach the projection 358 RN still need to be booked, about 14 per week until month-end. That is 69% of the 519 RN that March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227 vs 202 (pace 112%).</w:t>
      </w:r>
    </w:p>
    <w:p>
      <w:pPr>
        <w:pStyle w:val="ListParagraph"/>
        <w:numPr>
          <w:ilvl w:val="0"/>
          <w:numId w:val="2"/>
        </w:numPr>
        <w:spacing w:after="70" w:line="264"/>
      </w:pPr>
      <w:r>
        <w:rPr>
          <w:rFonts w:ascii="Calibri" w:cs="Calibri" w:eastAsia="Calibri" w:hAnsi="Calibri"/>
          <w:sz w:val="21"/>
          <w:szCs w:val="21"/>
        </w:rPr>
        <w:t xml:space="preserve">Booked rate is $663 per night, 14.1% above the rate booked a year ago ($581).</w:t>
      </w:r>
    </w:p>
    <w:p>
      <w:pPr>
        <w:pStyle w:val="ListParagraph"/>
        <w:numPr>
          <w:ilvl w:val="0"/>
          <w:numId w:val="2"/>
        </w:numPr>
        <w:spacing w:after="70" w:line="264"/>
      </w:pPr>
      <w:r>
        <w:rPr>
          <w:rFonts w:ascii="Calibri" w:cs="Calibri" w:eastAsia="Calibri" w:hAnsi="Calibri"/>
          <w:sz w:val="21"/>
          <w:szCs w:val="21"/>
        </w:rPr>
        <w:t xml:space="preserve">The pickup required is below what was achieved in 2026 from the same date.</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201 RN (47% of the books) are group blocks without a rooming list; their release is the main swing factor.</w:t>
      </w:r>
    </w:p>
    <w:p>
      <w:pPr>
        <w:pStyle w:val="ListParagraph"/>
        <w:numPr>
          <w:ilvl w:val="0"/>
          <w:numId w:val="2"/>
        </w:numPr>
        <w:spacing w:after="70" w:line="264"/>
      </w:pPr>
      <w:r>
        <w:rPr>
          <w:rFonts w:ascii="Calibri" w:cs="Calibri" w:eastAsia="Calibri" w:hAnsi="Calibri"/>
          <w:sz w:val="21"/>
          <w:szCs w:val="21"/>
        </w:rPr>
        <w:t xml:space="preserve">8 HOLD reservations (31 RN) are blocking inventory and should be confirmed or released.</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Rate discipline on a high-demand month: hold or increase rates on peak dates and apply minimum-stay rules; do not discount to fill the last rooms.</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201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Review 15 reservations flagged for rate or guarantee issues (potential recovery $10,796–$22,335).</w:t>
      </w:r>
    </w:p>
    <w:p>
      <w:pPr>
        <w:pStyle w:val="ListParagraph"/>
        <w:numPr>
          <w:ilvl w:val="0"/>
          <w:numId w:val="2"/>
        </w:numPr>
        <w:spacing w:after="70" w:line="264"/>
      </w:pPr>
      <w:r>
        <w:rPr>
          <w:rFonts w:ascii="Calibri" w:cs="Calibri" w:eastAsia="Calibri" w:hAnsi="Calibri"/>
          <w:sz w:val="21"/>
          <w:szCs w:val="21"/>
        </w:rPr>
        <w:t xml:space="preserve">Focus pickup on nights 29–31: the least-covered week, 25 RN booked against 68 RN sold in the same nights of 2026.</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SERVICIO DE VIAJER</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57</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$29,482</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45</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94</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34</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$22,617</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32</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102</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15</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$15,246</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68</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82</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TRAVEL EXCELLENCE</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33</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$18,100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18</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44</w:t>
            </w:r>
          </w:p>
        </w:tc>
      </w:tr>
    </w:tbl>
    <w:p>
      <w:pPr>
        <w:pStyle w:val="Heading2"/>
        <w:keepNext/>
        <w:spacing w:after="80" w:before="320"/>
      </w:pPr>
      <w:r>
        <w:rPr>
          <w:rFonts w:ascii="Calibri" w:cs="Calibri" w:eastAsia="Calibri" w:hAnsi="Calibri"/>
        </w:rPr>
        <w:t xml:space="preserve">April 2027</w:t>
      </w:r>
      <w:r>
        <w:rPr>
          <w:rFonts w:ascii="Calibri" w:cs="Calibri" w:eastAsia="Calibri" w:hAnsi="Calibri"/>
          <w:b/>
          <w:bCs/>
          <w:color w:val="B7791F"/>
          <w:sz w:val="20"/>
          <w:szCs w:val="20"/>
        </w:rPr>
        <w:t xml:space="preserve">   Confidence: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172</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72</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151%</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503</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551</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61.2%</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$629,356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31%</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379</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88%</w:t>
            </w:r>
          </w:p>
        </w:tc>
      </w:tr>
    </w:tbl>
    <w:p>
      <w:pPr>
        <w:spacing w:after="60"/>
      </w:pPr>
    </w:p>
    <w:p>
      <w:pPr>
        <w:spacing w:after="80" w:before="0" w:line="276"/>
      </w:pPr>
      <w:r>
        <w:rPr>
          <w:rFonts w:ascii="Calibri" w:cs="Calibri" w:eastAsia="Calibri" w:hAnsi="Calibri"/>
          <w:sz w:val="21"/>
          <w:szCs w:val="21"/>
        </w:rPr>
        <w:t xml:space="preserve">172 room nights are on the books (19.1% occupancy) against 72 at the same date last year. The projection is 551 RN (61.2% occupancy) and $629,356 of revenue, +10% in nights and +2% in revenue versus April 2026 (actual close: 503 RN, $615,596).</w:t>
      </w:r>
    </w:p>
    <w:p>
      <w:pPr>
        <w:spacing w:after="80" w:before="0" w:line="276"/>
      </w:pPr>
      <w:r>
        <w:rPr>
          <w:rFonts w:ascii="Calibri" w:cs="Calibri" w:eastAsia="Calibri" w:hAnsi="Calibri"/>
          <w:sz w:val="21"/>
          <w:szCs w:val="21"/>
        </w:rPr>
        <w:t xml:space="preserve">To reach the projection 379 RN still need to be booked, about 13 per week until month-end. That is 88% of the 431 RN that April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109 vs 72 (pace 151%).</w:t>
      </w:r>
    </w:p>
    <w:p>
      <w:pPr>
        <w:pStyle w:val="ListParagraph"/>
        <w:numPr>
          <w:ilvl w:val="0"/>
          <w:numId w:val="2"/>
        </w:numPr>
        <w:spacing w:after="70" w:line="264"/>
      </w:pPr>
      <w:r>
        <w:rPr>
          <w:rFonts w:ascii="Calibri" w:cs="Calibri" w:eastAsia="Calibri" w:hAnsi="Calibri"/>
          <w:sz w:val="21"/>
          <w:szCs w:val="21"/>
        </w:rPr>
        <w:t xml:space="preserve">Booked rate is $630 per night, 15.8% above the rate booked a year ago ($544).</w:t>
      </w:r>
    </w:p>
    <w:p>
      <w:pPr>
        <w:pStyle w:val="ListParagraph"/>
        <w:numPr>
          <w:ilvl w:val="0"/>
          <w:numId w:val="2"/>
        </w:numPr>
        <w:spacing w:after="70" w:line="264"/>
      </w:pPr>
      <w:r>
        <w:rPr>
          <w:rFonts w:ascii="Calibri" w:cs="Calibri" w:eastAsia="Calibri" w:hAnsi="Calibri"/>
          <w:sz w:val="21"/>
          <w:szCs w:val="21"/>
        </w:rPr>
        <w:t xml:space="preserve">The pickup required is below what was achieved in 2026 from the same date.</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63 RN (37% of the books) are group blocks without a rooming list; their release is the main swing factor.</w:t>
      </w:r>
    </w:p>
    <w:p>
      <w:pPr>
        <w:pStyle w:val="ListParagraph"/>
        <w:numPr>
          <w:ilvl w:val="0"/>
          <w:numId w:val="2"/>
        </w:numPr>
        <w:spacing w:after="70" w:line="264"/>
      </w:pPr>
      <w:r>
        <w:rPr>
          <w:rFonts w:ascii="Calibri" w:cs="Calibri" w:eastAsia="Calibri" w:hAnsi="Calibri"/>
          <w:sz w:val="21"/>
          <w:szCs w:val="21"/>
        </w:rPr>
        <w:t xml:space="preserve">1 HOLD reservation (4 RN) is blocking inventory and should be confirmed or released.</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Balance volume and rate: keep the current rate strategy and open tactical offers only on the weakest weeks.</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63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Review 3 reservations flagged for rate or guarantee issues (potential recovery $3,690).</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11</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$6,230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101</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TRAVEL PIONEERS S.</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12</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111</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$17,229</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53</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SERVICIO DE VIAJER</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18</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$10,145</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23</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CORPORACION DE VIA</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22</w:t>
            </w:r>
          </w:p>
        </w:tc>
      </w:tr>
    </w:tbl>
    <w:p>
      <w:pPr>
        <w:pStyle w:val="Heading2"/>
        <w:keepNext/>
        <w:spacing w:after="80" w:before="320"/>
      </w:pPr>
      <w:r>
        <w:rPr>
          <w:rFonts w:ascii="Calibri" w:cs="Calibri" w:eastAsia="Calibri" w:hAnsi="Calibri"/>
        </w:rPr>
        <w:t xml:space="preserve">May 2027</w:t>
      </w:r>
      <w:r>
        <w:rPr>
          <w:rFonts w:ascii="Calibri" w:cs="Calibri" w:eastAsia="Calibri" w:hAnsi="Calibri"/>
          <w:b/>
          <w:bCs/>
          <w:color w:val="C0392B"/>
          <w:sz w:val="20"/>
          <w:szCs w:val="20"/>
        </w:rPr>
        <w:t xml:space="preserve">   Confidence: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77</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47</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74%</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256</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279</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30.0%</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$226,715</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28%</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202</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97%</w:t>
            </w:r>
          </w:p>
        </w:tc>
      </w:tr>
    </w:tbl>
    <w:p>
      <w:pPr>
        <w:spacing w:after="60"/>
      </w:pPr>
    </w:p>
    <w:p>
      <w:pPr>
        <w:spacing w:after="80" w:before="0" w:line="276"/>
      </w:pPr>
      <w:r>
        <w:rPr>
          <w:rFonts w:ascii="Calibri" w:cs="Calibri" w:eastAsia="Calibri" w:hAnsi="Calibri"/>
          <w:sz w:val="21"/>
          <w:szCs w:val="21"/>
        </w:rPr>
        <w:t xml:space="preserve">77 room nights are on the books (8.3% occupancy) against 47 at the same date last year. The projection is 279 RN (30.0% occupancy) and $226,715 of revenue, +9% in nights and +3% in revenue versus May 2026 (actual close: 256 RN, $220,797).</w:t>
      </w:r>
    </w:p>
    <w:p>
      <w:pPr>
        <w:spacing w:after="80" w:before="0" w:line="276"/>
      </w:pPr>
      <w:r>
        <w:rPr>
          <w:rFonts w:ascii="Calibri" w:cs="Calibri" w:eastAsia="Calibri" w:hAnsi="Calibri"/>
          <w:sz w:val="21"/>
          <w:szCs w:val="21"/>
        </w:rPr>
        <w:t xml:space="preserve">To reach the projection 202 RN still need to be booked, about 6 per week until month-end. That is 97% of the 209 RN that May 2026 picked up from this same date — less than what was already achieved.</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Booked rate is $599 per night, 7.5% below the rate booked a year ago ($648).</w:t>
      </w:r>
    </w:p>
    <w:p>
      <w:pPr>
        <w:pStyle w:val="ListParagraph"/>
        <w:numPr>
          <w:ilvl w:val="0"/>
          <w:numId w:val="2"/>
        </w:numPr>
        <w:spacing w:after="70" w:line="264"/>
      </w:pPr>
      <w:r>
        <w:rPr>
          <w:rFonts w:ascii="Calibri" w:cs="Calibri" w:eastAsia="Calibri" w:hAnsi="Calibri"/>
          <w:sz w:val="21"/>
          <w:szCs w:val="21"/>
        </w:rPr>
        <w:t xml:space="preserve">Individual reservations are behind last year: 35 vs 47 (pace 74%).</w:t>
      </w:r>
    </w:p>
    <w:p>
      <w:pPr>
        <w:pStyle w:val="ListParagraph"/>
        <w:numPr>
          <w:ilvl w:val="0"/>
          <w:numId w:val="2"/>
        </w:numPr>
        <w:spacing w:after="70" w:line="264"/>
      </w:pPr>
      <w:r>
        <w:rPr>
          <w:rFonts w:ascii="Calibri" w:cs="Calibri" w:eastAsia="Calibri" w:hAnsi="Calibri"/>
          <w:sz w:val="21"/>
          <w:szCs w:val="21"/>
        </w:rPr>
        <w:t xml:space="preserve">42 RN (55% of the books) are group blocks without a rooming list; their release is the main swing factor.</w:t>
      </w:r>
    </w:p>
    <w:p>
      <w:pPr>
        <w:pStyle w:val="ListParagraph"/>
        <w:numPr>
          <w:ilvl w:val="0"/>
          <w:numId w:val="2"/>
        </w:numPr>
        <w:spacing w:after="70" w:line="264"/>
      </w:pPr>
      <w:r>
        <w:rPr>
          <w:rFonts w:ascii="Calibri" w:cs="Calibri" w:eastAsia="Calibri" w:hAnsi="Calibri"/>
          <w:sz w:val="21"/>
          <w:szCs w:val="21"/>
        </w:rPr>
        <w:t xml:space="preserve">1 HOLD reservation (5 RN) is blocking inventory and should be confirmed or released.</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Need-period plan: targeted offers through the main agencies and wholesalers, package promotions and direct campaigns, launched at least 90 days before arrival.</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42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Review 1 reservation flagged for rate or guarantee issues (potential recovery $840).</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11</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$7,094</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47</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49</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SERVICIO DE VIAJER</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11</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$5,011</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14</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22</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TRAVEL EXCELLENCE</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6</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$3,583</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20</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22</w:t>
            </w:r>
          </w:p>
        </w:tc>
      </w:tr>
    </w:tbl>
    <w:p>
      <w:pPr>
        <w:pStyle w:val="Heading2"/>
        <w:keepNext/>
        <w:spacing w:after="80" w:before="320"/>
      </w:pPr>
      <w:r>
        <w:rPr>
          <w:rFonts w:ascii="Calibri" w:cs="Calibri" w:eastAsia="Calibri" w:hAnsi="Calibri"/>
        </w:rPr>
        <w:t xml:space="preserve">June 2027</w:t>
      </w:r>
      <w:r>
        <w:rPr>
          <w:rFonts w:ascii="Calibri" w:cs="Calibri" w:eastAsia="Calibri" w:hAnsi="Calibri"/>
          <w:b/>
          <w:bCs/>
          <w:color w:val="C0392B"/>
          <w:sz w:val="20"/>
          <w:szCs w:val="20"/>
        </w:rPr>
        <w:t xml:space="preserve">   Confidence: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53</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110%</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284</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314</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34.9%</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$180,467</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17%</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261</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95%</w:t>
            </w:r>
          </w:p>
        </w:tc>
      </w:tr>
    </w:tbl>
    <w:p>
      <w:pPr>
        <w:spacing w:after="60"/>
      </w:pPr>
    </w:p>
    <w:p>
      <w:pPr>
        <w:spacing w:after="80" w:before="0" w:line="276"/>
      </w:pPr>
      <w:r>
        <w:rPr>
          <w:rFonts w:ascii="Calibri" w:cs="Calibri" w:eastAsia="Calibri" w:hAnsi="Calibri"/>
          <w:sz w:val="21"/>
          <w:szCs w:val="21"/>
        </w:rPr>
        <w:t xml:space="preserve">53 room nights are on the books (5.9% occupancy) against 10 at the same date last year. The projection is 314 RN (34.9% occupancy) and $180,467 of revenue, +10% in nights and +18% in revenue versus June 2026 (actual close: 284 RN, $153,239).</w:t>
      </w:r>
    </w:p>
    <w:p>
      <w:pPr>
        <w:spacing w:after="80" w:before="0" w:line="276"/>
      </w:pPr>
      <w:r>
        <w:rPr>
          <w:rFonts w:ascii="Calibri" w:cs="Calibri" w:eastAsia="Calibri" w:hAnsi="Calibri"/>
          <w:sz w:val="21"/>
          <w:szCs w:val="21"/>
        </w:rPr>
        <w:t xml:space="preserve">To reach the projection 261 RN still need to be booked, about 7 per week until month-end. That is 95% of the 274 RN that June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11 vs 10 (pace 110%).</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42 RN (79% of the books) are group blocks without a rooming list; their release is the main swing factor.</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Need-period plan: targeted offers through the main agencies and wholesalers, package promotions and direct campaigns, launched at least 90 days before arrival.</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42 RN of group blocks; release unconfirmed rooms to general sale on time.</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$1,534</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95</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THE COSTA RICA COL</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32</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$3,923</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26</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27</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SERVICIO DE VIAJER</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16</w:t>
            </w:r>
          </w:p>
        </w:tc>
      </w:tr>
    </w:tbl>
    <w:p>
      <w:pPr>
        <w:pStyle w:val="Heading2"/>
        <w:keepNext/>
        <w:spacing w:after="80" w:before="320"/>
      </w:pPr>
      <w:r>
        <w:rPr>
          <w:rFonts w:ascii="Calibri" w:cs="Calibri" w:eastAsia="Calibri" w:hAnsi="Calibri"/>
        </w:rPr>
        <w:t xml:space="preserve">July 2027</w:t>
      </w:r>
      <w:r>
        <w:rPr>
          <w:rFonts w:ascii="Calibri" w:cs="Calibri" w:eastAsia="Calibri" w:hAnsi="Calibri"/>
          <w:b/>
          <w:bCs/>
          <w:color w:val="B7791F"/>
          <w:sz w:val="20"/>
          <w:szCs w:val="20"/>
        </w:rPr>
        <w:t xml:space="preserve">   Confidence: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324</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21</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143%</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267</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493</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53.0%</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$493,301</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169</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69%</w:t>
            </w:r>
          </w:p>
        </w:tc>
      </w:tr>
    </w:tbl>
    <w:p>
      <w:pPr>
        <w:spacing w:after="60"/>
      </w:pPr>
    </w:p>
    <w:p>
      <w:pPr>
        <w:spacing w:after="80" w:before="0" w:line="276"/>
      </w:pPr>
      <w:r>
        <w:rPr>
          <w:rFonts w:ascii="Calibri" w:cs="Calibri" w:eastAsia="Calibri" w:hAnsi="Calibri"/>
          <w:sz w:val="21"/>
          <w:szCs w:val="21"/>
        </w:rPr>
        <w:t xml:space="preserve">324 room nights are on the books (34.8% occupancy) against 21 at the same date last year. The projection is 493 RN (53.0% occupancy) and $493,301 of revenue, +85% in nights and +98% in revenue versus July 2026 (actual close: 267 RN, $248,598).</w:t>
      </w:r>
    </w:p>
    <w:p>
      <w:pPr>
        <w:spacing w:after="80" w:before="0" w:line="276"/>
      </w:pPr>
      <w:r>
        <w:rPr>
          <w:rFonts w:ascii="Calibri" w:cs="Calibri" w:eastAsia="Calibri" w:hAnsi="Calibri"/>
          <w:sz w:val="21"/>
          <w:szCs w:val="21"/>
        </w:rPr>
        <w:t xml:space="preserve">To reach the projection 169 RN still need to be booked, about 4 per week until month-end. That is 69% of the 246 RN that July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30 vs 21 (pace 143%).</w:t>
      </w:r>
    </w:p>
    <w:p>
      <w:pPr>
        <w:pStyle w:val="ListParagraph"/>
        <w:numPr>
          <w:ilvl w:val="0"/>
          <w:numId w:val="2"/>
        </w:numPr>
        <w:spacing w:after="70" w:line="264"/>
      </w:pPr>
      <w:r>
        <w:rPr>
          <w:rFonts w:ascii="Calibri" w:cs="Calibri" w:eastAsia="Calibri" w:hAnsi="Calibri"/>
          <w:sz w:val="21"/>
          <w:szCs w:val="21"/>
        </w:rPr>
        <w:t xml:space="preserve">66% of the projection is already secured.</w:t>
      </w:r>
    </w:p>
    <w:p>
      <w:pPr>
        <w:pStyle w:val="ListParagraph"/>
        <w:numPr>
          <w:ilvl w:val="0"/>
          <w:numId w:val="2"/>
        </w:numPr>
        <w:spacing w:after="70" w:line="264"/>
      </w:pPr>
      <w:r>
        <w:rPr>
          <w:rFonts w:ascii="Calibri" w:cs="Calibri" w:eastAsia="Calibri" w:hAnsi="Calibri"/>
          <w:sz w:val="21"/>
          <w:szCs w:val="21"/>
        </w:rPr>
        <w:t xml:space="preserve">The pickup required is below what was achieved in 2026 from the same date.</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294 RN (91% of the books) are group blocks without a rooming list; their release is the main swing factor.</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Balance volume and rate: keep the current rate strategy and open tactical offers only on the weakest weeks.</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294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Focus pickup on nights 29–31: the least-covered week, 2 RN booked against 21 RN sold in the same nights of 2026.</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$2,021</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56</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45</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29</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TRAVEL EXCELLENCE</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23</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AGENCIA DE VIAJES</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16</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20</w:t>
            </w:r>
          </w:p>
        </w:tc>
      </w:tr>
    </w:tbl>
    <w:p>
      <w:pPr>
        <w:pStyle w:val="Heading2"/>
        <w:keepNext/>
        <w:spacing w:after="80" w:before="320"/>
      </w:pPr>
      <w:r>
        <w:rPr>
          <w:rFonts w:ascii="Calibri" w:cs="Calibri" w:eastAsia="Calibri" w:hAnsi="Calibri"/>
        </w:rPr>
        <w:t xml:space="preserve">August 2027</w:t>
      </w:r>
      <w:r>
        <w:rPr>
          <w:rFonts w:ascii="Calibri" w:cs="Calibri" w:eastAsia="Calibri" w:hAnsi="Calibri"/>
          <w:b/>
          <w:bCs/>
          <w:color w:val="C0392B"/>
          <w:sz w:val="20"/>
          <w:szCs w:val="20"/>
        </w:rPr>
        <w:t xml:space="preserve">   Confidence: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72</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150%</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292</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403</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43.3%</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$370,992</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18%</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331</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115%</w:t>
            </w:r>
          </w:p>
        </w:tc>
      </w:tr>
    </w:tbl>
    <w:p>
      <w:pPr>
        <w:spacing w:after="60"/>
      </w:pPr>
    </w:p>
    <w:p>
      <w:pPr>
        <w:spacing w:after="80" w:before="0" w:line="276"/>
      </w:pPr>
      <w:r>
        <w:rPr>
          <w:rFonts w:ascii="Calibri" w:cs="Calibri" w:eastAsia="Calibri" w:hAnsi="Calibri"/>
          <w:sz w:val="21"/>
          <w:szCs w:val="21"/>
        </w:rPr>
        <w:t xml:space="preserve">72 room nights are on the books (7.7% occupancy) against 4 at the same date last year. The projection is 403 RN (43.3% occupancy) and $370,992 of revenue, +38% in nights and +33% in revenue versus August 2026 (actual close: 292 RN, $278,054).</w:t>
      </w:r>
    </w:p>
    <w:p>
      <w:pPr>
        <w:spacing w:after="80" w:before="0" w:line="276"/>
      </w:pPr>
      <w:r>
        <w:rPr>
          <w:rFonts w:ascii="Calibri" w:cs="Calibri" w:eastAsia="Calibri" w:hAnsi="Calibri"/>
          <w:sz w:val="21"/>
          <w:szCs w:val="21"/>
        </w:rPr>
        <w:t xml:space="preserve">To reach the projection 331 RN still need to be booked, about 7 per week until month-end. That is 115% of the 288 RN that August 2026 picked up from this same date — more than last year achieved, so the month needs additional commercial effort.</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Individual reservations are ahead of last year: 6 vs 4 (pace 150%).</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66 RN (92% of the books) are group blocks without a rooming list; their release is the main swing factor.</w:t>
      </w:r>
    </w:p>
    <w:p>
      <w:pPr>
        <w:pStyle w:val="ListParagraph"/>
        <w:numPr>
          <w:ilvl w:val="0"/>
          <w:numId w:val="2"/>
        </w:numPr>
        <w:spacing w:after="70" w:line="264"/>
      </w:pPr>
      <w:r>
        <w:rPr>
          <w:rFonts w:ascii="Calibri" w:cs="Calibri" w:eastAsia="Calibri" w:hAnsi="Calibri"/>
          <w:sz w:val="21"/>
          <w:szCs w:val="21"/>
        </w:rPr>
        <w:t xml:space="preserve">The projection requires 115% of last year's pickup from this date.</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Need-period plan: targeted offers through the main agencies and wholesalers, package promotions and direct campaigns, launched at least 90 days before arrival.</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66 RN of group blocks; release unconfirmed rooms to general sale on time.</w:t>
      </w:r>
    </w:p>
    <w:p>
      <w:pPr>
        <w:keepNext/>
        <w:spacing w:after="60" w:before="140"/>
      </w:pPr>
      <w:r>
        <w:rPr>
          <w:rFonts w:ascii="Calibri" w:cs="Calibri" w:eastAsia="Calibri" w:hAnsi="Calibri"/>
          <w:b/>
          <w:bCs/>
          <w:color w:val="1A3A5C"/>
          <w:sz w:val="22"/>
          <w:szCs w:val="22"/>
        </w:rPr>
        <w:t xml:space="preserve">Top sources on the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00"/>
        <w:gridCol w:w="1700"/>
        <w:gridCol w:w="1500"/>
        <w:gridCol w:w="1400"/>
      </w:tblGrid>
      <w:tr>
        <w:trPr>
          <w:tblHeader/>
        </w:trPr>
        <w:tc>
          <w:tcPr>
            <w:tcW w:type="dxa" w:w="33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Source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today</w:t>
            </w:r>
          </w:p>
        </w:tc>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value</w:t>
            </w:r>
          </w:p>
        </w:tc>
        <w:tc>
          <w:tcPr>
            <w:tcW w:type="dxa" w:w="15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same date 2026</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final RN</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Directo / sin agencia</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54</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COSTA RICA SUN TOU</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43</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RUSS TICO TRAVEL D</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36</w:t>
            </w:r>
          </w:p>
        </w:tc>
      </w:tr>
      <w:tr>
        <w:trPr>
          <w:cantSplit/>
        </w:trPr>
        <w:tc>
          <w:tcPr>
            <w:tcW w:type="dxa" w:w="33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SYX</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sz w:val="16"/>
                <w:szCs w:val="16"/>
              </w:rPr>
              <w:t xml:space="preserve">24</w:t>
            </w:r>
          </w:p>
        </w:tc>
      </w:tr>
      <w:tr>
        <w:trPr>
          <w:cantSplit/>
        </w:trPr>
        <w:tc>
          <w:tcPr>
            <w:tcW w:type="dxa" w:w="33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AGENCIA DE VIAJES</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5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21</w:t>
            </w:r>
          </w:p>
        </w:tc>
      </w:tr>
    </w:tbl>
    <w:p>
      <w:pPr>
        <w:pStyle w:val="Heading2"/>
        <w:keepNext/>
        <w:spacing w:after="80" w:before="320"/>
      </w:pPr>
      <w:r>
        <w:rPr>
          <w:rFonts w:ascii="Calibri" w:cs="Calibri" w:eastAsia="Calibri" w:hAnsi="Calibri"/>
        </w:rPr>
        <w:t xml:space="preserve">September 2027</w:t>
      </w:r>
      <w:r>
        <w:rPr>
          <w:rFonts w:ascii="Calibri" w:cs="Calibri" w:eastAsia="Calibri" w:hAnsi="Calibri"/>
          <w:b/>
          <w:bCs/>
          <w:color w:val="C0392B"/>
          <w:sz w:val="20"/>
          <w:szCs w:val="20"/>
        </w:rPr>
        <w:t xml:space="preserve">   Confidence: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229*</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326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36.2%</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$61,234</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326</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144%</w:t>
            </w:r>
          </w:p>
        </w:tc>
      </w:tr>
    </w:tbl>
    <w:p>
      <w:pPr>
        <w:spacing w:after="60"/>
      </w:pPr>
    </w:p>
    <w:p>
      <w:pPr>
        <w:spacing w:after="80" w:before="0" w:line="276"/>
      </w:pPr>
      <w:r>
        <w:rPr>
          <w:rFonts w:ascii="Calibri" w:cs="Calibri" w:eastAsia="Calibri" w:hAnsi="Calibri"/>
          <w:sz w:val="21"/>
          <w:szCs w:val="21"/>
        </w:rPr>
        <w:t xml:space="preserve">0 room nights are on the books (0.0% occupancy) against 3 at the same date last year. The projection is 326 RN (36.2% occupancy) and $61,234 of revenue, +42% in nights and +42% in revenue versus September 2026 (still a projection: 229 RN, $43,019).</w:t>
      </w:r>
    </w:p>
    <w:p>
      <w:pPr>
        <w:spacing w:after="80" w:before="0" w:line="276"/>
      </w:pPr>
      <w:r>
        <w:rPr>
          <w:rFonts w:ascii="Calibri" w:cs="Calibri" w:eastAsia="Calibri" w:hAnsi="Calibri"/>
          <w:sz w:val="21"/>
          <w:szCs w:val="21"/>
        </w:rPr>
        <w:t xml:space="preserve">To reach the projection 326 RN still need to be booked, about 6 per week until month-end. That is 144% of the 226 RN that September 2026 picked up from this same date — more than last year achieved, so the month needs additional commercial effort.</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Individual reservations are behind last year: 0 vs 3 (pace 0%).</w:t>
      </w:r>
    </w:p>
    <w:p>
      <w:pPr>
        <w:pStyle w:val="ListParagraph"/>
        <w:numPr>
          <w:ilvl w:val="0"/>
          <w:numId w:val="2"/>
        </w:numPr>
        <w:spacing w:after="70" w:line="264"/>
      </w:pPr>
      <w:r>
        <w:rPr>
          <w:rFonts w:ascii="Calibri" w:cs="Calibri" w:eastAsia="Calibri" w:hAnsi="Calibri"/>
          <w:sz w:val="21"/>
          <w:szCs w:val="21"/>
        </w:rPr>
        <w:t xml:space="preserve">The projection requires 144% of last year's pickup from this date.</w:t>
      </w:r>
    </w:p>
    <w:p>
      <w:pPr>
        <w:pStyle w:val="ListParagraph"/>
        <w:numPr>
          <w:ilvl w:val="0"/>
          <w:numId w:val="2"/>
        </w:numPr>
        <w:spacing w:after="70" w:line="264"/>
      </w:pPr>
      <w:r>
        <w:rPr>
          <w:rFonts w:ascii="Calibri" w:cs="Calibri" w:eastAsia="Calibri" w:hAnsi="Calibri"/>
          <w:sz w:val="21"/>
          <w:szCs w:val="21"/>
        </w:rPr>
        <w:t xml:space="preserve">The September 2026 reference has not closed yet; it is itself a projection.</w:t>
      </w:r>
    </w:p>
    <w:p>
      <w:pPr>
        <w:pStyle w:val="ListParagraph"/>
        <w:numPr>
          <w:ilvl w:val="0"/>
          <w:numId w:val="2"/>
        </w:numPr>
        <w:spacing w:after="70" w:line="264"/>
      </w:pPr>
      <w:r>
        <w:rPr>
          <w:rFonts w:ascii="Calibri" w:cs="Calibri" w:eastAsia="Calibri" w:hAnsi="Calibri"/>
          <w:sz w:val="21"/>
          <w:szCs w:val="21"/>
        </w:rPr>
        <w:t xml:space="preserve">The prior-year value per night used for this month ($188) is atypical against the year average ($933); September 2026 revenue in Opera should be reviewed before relying on the revenue figure.</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Need-period plan: targeted offers through the main agencies and wholesalers, package promotions and direct campaigns, launched at least 90 days before arrival.</w:t>
      </w:r>
    </w:p>
    <w:p>
      <w:pPr>
        <w:pStyle w:val="ListParagraph"/>
        <w:numPr>
          <w:ilvl w:val="0"/>
          <w:numId w:val="2"/>
        </w:numPr>
        <w:spacing w:after="70" w:line="264"/>
      </w:pPr>
      <w:r>
        <w:rPr>
          <w:rFonts w:ascii="Calibri" w:cs="Calibri" w:eastAsia="Calibri" w:hAnsi="Calibri"/>
          <w:sz w:val="21"/>
          <w:szCs w:val="21"/>
        </w:rPr>
        <w:t xml:space="preserve">Finance to review the September 2026 revenue posted in Opera (value per night far below the year average).</w:t>
      </w:r>
    </w:p>
    <w:p>
      <w:pPr>
        <w:pStyle w:val="Heading2"/>
        <w:keepNext/>
        <w:spacing w:after="80" w:before="320"/>
      </w:pPr>
      <w:r>
        <w:rPr>
          <w:rFonts w:ascii="Calibri" w:cs="Calibri" w:eastAsia="Calibri" w:hAnsi="Calibri"/>
        </w:rPr>
        <w:t xml:space="preserve">October 2027</w:t>
      </w:r>
      <w:r>
        <w:rPr>
          <w:rFonts w:ascii="Calibri" w:cs="Calibri" w:eastAsia="Calibri" w:hAnsi="Calibri"/>
          <w:b/>
          <w:bCs/>
          <w:color w:val="4A5568"/>
          <w:sz w:val="20"/>
          <w:szCs w:val="20"/>
        </w:rPr>
        <w:t xml:space="preserve">   Confidence: No operation</w:t>
      </w:r>
    </w:p>
    <w:p>
      <w:pPr>
        <w:spacing w:after="80" w:before="0" w:line="276"/>
      </w:pPr>
      <w:r>
        <w:rPr>
          <w:rFonts w:ascii="Calibri" w:cs="Calibri" w:eastAsia="Calibri" w:hAnsi="Calibri"/>
          <w:sz w:val="21"/>
          <w:szCs w:val="21"/>
        </w:rPr>
        <w:t xml:space="preserve">October 2027 has no room nights on the books, no prior-year activity and no projection. The lodge is expected to remain closed, consistent with October 2026.</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Confirm the closure dates are blocked in Opera and on all distribution channels.</w:t>
      </w:r>
    </w:p>
    <w:p>
      <w:pPr>
        <w:pStyle w:val="Heading2"/>
        <w:keepNext/>
        <w:spacing w:after="80" w:before="320"/>
      </w:pPr>
      <w:r>
        <w:rPr>
          <w:rFonts w:ascii="Calibri" w:cs="Calibri" w:eastAsia="Calibri" w:hAnsi="Calibri"/>
        </w:rPr>
        <w:t xml:space="preserve">November 2027</w:t>
      </w:r>
      <w:r>
        <w:rPr>
          <w:rFonts w:ascii="Calibri" w:cs="Calibri" w:eastAsia="Calibri" w:hAnsi="Calibri"/>
          <w:b/>
          <w:bCs/>
          <w:color w:val="C0392B"/>
          <w:sz w:val="20"/>
          <w:szCs w:val="20"/>
        </w:rPr>
        <w:t xml:space="preserve">   Confidence: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66</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43</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407*</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436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48.4%</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$324,536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15%</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370</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102%</w:t>
            </w:r>
          </w:p>
        </w:tc>
      </w:tr>
    </w:tbl>
    <w:p>
      <w:pPr>
        <w:spacing w:after="60"/>
      </w:pPr>
    </w:p>
    <w:p>
      <w:pPr>
        <w:spacing w:after="80" w:before="0" w:line="276"/>
      </w:pPr>
      <w:r>
        <w:rPr>
          <w:rFonts w:ascii="Calibri" w:cs="Calibri" w:eastAsia="Calibri" w:hAnsi="Calibri"/>
          <w:sz w:val="21"/>
          <w:szCs w:val="21"/>
        </w:rPr>
        <w:t xml:space="preserve">66 room nights are on the books (7.3% occupancy) against 43 at the same date last year. The projection is 436 RN (48.4% occupancy) and $324,536 of revenue, +7% in nights and +8% in revenue versus November 2026 (still a projection: 407 RN, $299,890).</w:t>
      </w:r>
    </w:p>
    <w:p>
      <w:pPr>
        <w:spacing w:after="80" w:before="0" w:line="276"/>
      </w:pPr>
      <w:r>
        <w:rPr>
          <w:rFonts w:ascii="Calibri" w:cs="Calibri" w:eastAsia="Calibri" w:hAnsi="Calibri"/>
          <w:sz w:val="21"/>
          <w:szCs w:val="21"/>
        </w:rPr>
        <w:t xml:space="preserve">To reach the projection 370 RN still need to be booked, about 6 per week until month-end. That is 102% of the 364 RN that November 2026 picked up from this same date — more than last year achieved, so the month needs additional commercial effort.</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Everything on the books (66 RN) is group blocks; there are no individual reservations yet, versus 43 a year ago.</w:t>
      </w:r>
    </w:p>
    <w:p>
      <w:pPr>
        <w:pStyle w:val="ListParagraph"/>
        <w:numPr>
          <w:ilvl w:val="0"/>
          <w:numId w:val="2"/>
        </w:numPr>
        <w:spacing w:after="70" w:line="264"/>
      </w:pPr>
      <w:r>
        <w:rPr>
          <w:rFonts w:ascii="Calibri" w:cs="Calibri" w:eastAsia="Calibri" w:hAnsi="Calibri"/>
          <w:sz w:val="21"/>
          <w:szCs w:val="21"/>
        </w:rPr>
        <w:t xml:space="preserve">The November 2026 reference has not closed yet; it is itself a projection.</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Balance volume and rate: keep the current rate strategy and open tactical offers only on the weakest weeks.</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66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Verify that 2027 rates and inventory for this month are loaded and open for sale on every channel (Opera, website, agencies, OTAs).</w:t>
      </w:r>
    </w:p>
    <w:p>
      <w:pPr>
        <w:pStyle w:val="Heading2"/>
        <w:keepNext/>
        <w:spacing w:after="80" w:before="320"/>
      </w:pPr>
      <w:r>
        <w:rPr>
          <w:rFonts w:ascii="Calibri" w:cs="Calibri" w:eastAsia="Calibri" w:hAnsi="Calibri"/>
        </w:rPr>
        <w:t xml:space="preserve">December 2027</w:t>
      </w:r>
      <w:r>
        <w:rPr>
          <w:rFonts w:ascii="Calibri" w:cs="Calibri" w:eastAsia="Calibri" w:hAnsi="Calibri"/>
          <w:b/>
          <w:bCs/>
          <w:color w:val="C0392B"/>
          <w:sz w:val="20"/>
          <w:szCs w:val="20"/>
        </w:rPr>
        <w:t xml:space="preserve">   Confidence: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850"/>
        <w:gridCol w:w="1000"/>
        <w:gridCol w:w="900"/>
        <w:gridCol w:w="1260"/>
        <w:gridCol w:w="900"/>
        <w:gridCol w:w="900"/>
        <w:gridCol w:w="1050"/>
      </w:tblGrid>
      <w:tr>
        <w:trPr>
          <w:tblHeader/>
        </w:trPr>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On the books</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STLY</w:t>
            </w:r>
          </w:p>
        </w:tc>
        <w:tc>
          <w:tcPr>
            <w:tcW w:type="dxa" w:w="8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Pace</w:t>
            </w:r>
          </w:p>
        </w:tc>
        <w:tc>
          <w:tcPr>
            <w:tcW w:type="dxa" w:w="8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w:t>
            </w:r>
          </w:p>
        </w:tc>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Projection</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2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revenue</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Secured</w:t>
            </w:r>
          </w:p>
        </w:tc>
        <w:tc>
          <w:tcPr>
            <w:tcW w:type="dxa" w:w="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RN to go</w:t>
            </w:r>
          </w:p>
        </w:tc>
        <w:tc>
          <w:tcPr>
            <w:tcW w:type="dxa" w:w="10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Effort</w:t>
            </w:r>
          </w:p>
        </w:tc>
      </w:tr>
      <w:tr>
        <w:trPr>
          <w:cantSplit/>
        </w:trPr>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105</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w:t>
            </w:r>
          </w:p>
        </w:tc>
        <w:tc>
          <w:tcPr>
            <w:tcW w:type="dxa" w:w="8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0%</w:t>
            </w:r>
          </w:p>
        </w:tc>
        <w:tc>
          <w:tcPr>
            <w:tcW w:type="dxa" w:w="8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627*</w:t>
            </w:r>
          </w:p>
        </w:tc>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660</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71.0%</w:t>
            </w:r>
          </w:p>
        </w:tc>
        <w:tc>
          <w:tcPr>
            <w:tcW w:type="dxa" w:w="12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$623,542</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16%</w:t>
            </w:r>
          </w:p>
        </w:tc>
        <w:tc>
          <w:tcPr>
            <w:tcW w:type="dxa" w:w="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555</w:t>
            </w:r>
          </w:p>
        </w:tc>
        <w:tc>
          <w:tcPr>
            <w:tcW w:type="dxa" w:w="10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val="false"/>
              <w:keepLines/>
              <w:jc w:val="right"/>
            </w:pPr>
            <w:r>
              <w:rPr>
                <w:rFonts w:ascii="Calibri" w:cs="Calibri" w:eastAsia="Calibri" w:hAnsi="Calibri"/>
                <w:sz w:val="16"/>
                <w:szCs w:val="16"/>
              </w:rPr>
              <w:t xml:space="preserve">89%</w:t>
            </w:r>
          </w:p>
        </w:tc>
      </w:tr>
    </w:tbl>
    <w:p>
      <w:pPr>
        <w:spacing w:after="60"/>
      </w:pPr>
    </w:p>
    <w:p>
      <w:pPr>
        <w:spacing w:after="80" w:before="0" w:line="276"/>
      </w:pPr>
      <w:r>
        <w:rPr>
          <w:rFonts w:ascii="Calibri" w:cs="Calibri" w:eastAsia="Calibri" w:hAnsi="Calibri"/>
          <w:sz w:val="21"/>
          <w:szCs w:val="21"/>
        </w:rPr>
        <w:t xml:space="preserve">105 room nights are on the books (11.3% occupancy) against 5 at the same date last year. The projection is 660 RN (71.0% occupancy) and $623,542 of revenue, +5% in nights and +0% in revenue versus December 2026 (still a projection: 627 RN, $621,378).</w:t>
      </w:r>
    </w:p>
    <w:p>
      <w:pPr>
        <w:spacing w:after="80" w:before="0" w:line="276"/>
      </w:pPr>
      <w:r>
        <w:rPr>
          <w:rFonts w:ascii="Calibri" w:cs="Calibri" w:eastAsia="Calibri" w:hAnsi="Calibri"/>
          <w:sz w:val="21"/>
          <w:szCs w:val="21"/>
        </w:rPr>
        <w:t xml:space="preserve">To reach the projection 555 RN still need to be booked, about 8 per week until month-end. That is 89% of the 622 RN that December 2026 picked up from this same date — less than what was already achieved.</w:t>
      </w:r>
    </w:p>
    <w:p>
      <w:pPr>
        <w:keepNext/>
        <w:spacing w:after="60" w:before="140"/>
      </w:pPr>
      <w:r>
        <w:rPr>
          <w:rFonts w:ascii="Calibri" w:cs="Calibri" w:eastAsia="Calibri" w:hAnsi="Calibri"/>
          <w:b/>
          <w:bCs/>
          <w:color w:val="1A3A5C"/>
          <w:sz w:val="22"/>
          <w:szCs w:val="22"/>
        </w:rPr>
        <w:t xml:space="preserve">Strengths</w:t>
      </w:r>
    </w:p>
    <w:p>
      <w:pPr>
        <w:pStyle w:val="ListParagraph"/>
        <w:numPr>
          <w:ilvl w:val="0"/>
          <w:numId w:val="2"/>
        </w:numPr>
        <w:spacing w:after="70" w:line="264"/>
      </w:pPr>
      <w:r>
        <w:rPr>
          <w:rFonts w:ascii="Calibri" w:cs="Calibri" w:eastAsia="Calibri" w:hAnsi="Calibri"/>
          <w:sz w:val="21"/>
          <w:szCs w:val="21"/>
        </w:rPr>
        <w:t xml:space="preserve">The pickup required is below what was achieved in 2026 from the same date.</w:t>
      </w:r>
    </w:p>
    <w:p>
      <w:pPr>
        <w:keepNext/>
        <w:spacing w:after="60" w:before="140"/>
      </w:pPr>
      <w:r>
        <w:rPr>
          <w:rFonts w:ascii="Calibri" w:cs="Calibri" w:eastAsia="Calibri" w:hAnsi="Calibri"/>
          <w:b/>
          <w:bCs/>
          <w:color w:val="1A3A5C"/>
          <w:sz w:val="22"/>
          <w:szCs w:val="22"/>
        </w:rPr>
        <w:t xml:space="preserve">Risks</w:t>
      </w:r>
    </w:p>
    <w:p>
      <w:pPr>
        <w:pStyle w:val="ListParagraph"/>
        <w:numPr>
          <w:ilvl w:val="0"/>
          <w:numId w:val="2"/>
        </w:numPr>
        <w:spacing w:after="70" w:line="264"/>
      </w:pPr>
      <w:r>
        <w:rPr>
          <w:rFonts w:ascii="Calibri" w:cs="Calibri" w:eastAsia="Calibri" w:hAnsi="Calibri"/>
          <w:sz w:val="21"/>
          <w:szCs w:val="21"/>
        </w:rPr>
        <w:t xml:space="preserve">Everything on the books (105 RN) is group blocks; there are no individual reservations yet, versus 5 a year ago.</w:t>
      </w:r>
    </w:p>
    <w:p>
      <w:pPr>
        <w:pStyle w:val="ListParagraph"/>
        <w:numPr>
          <w:ilvl w:val="0"/>
          <w:numId w:val="2"/>
        </w:numPr>
        <w:spacing w:after="70" w:line="264"/>
      </w:pPr>
      <w:r>
        <w:rPr>
          <w:rFonts w:ascii="Calibri" w:cs="Calibri" w:eastAsia="Calibri" w:hAnsi="Calibri"/>
          <w:sz w:val="21"/>
          <w:szCs w:val="21"/>
        </w:rPr>
        <w:t xml:space="preserve">The December 2026 reference has not closed yet; it is itself a projection.</w:t>
      </w:r>
    </w:p>
    <w:p>
      <w:pPr>
        <w:keepNext/>
        <w:spacing w:after="60" w:before="140"/>
      </w:pPr>
      <w:r>
        <w:rPr>
          <w:rFonts w:ascii="Calibri" w:cs="Calibri" w:eastAsia="Calibri" w:hAnsi="Calibri"/>
          <w:b/>
          <w:bCs/>
          <w:color w:val="1A3A5C"/>
          <w:sz w:val="22"/>
          <w:szCs w:val="22"/>
        </w:rPr>
        <w:t xml:space="preserve">Recommended actions</w:t>
      </w:r>
    </w:p>
    <w:p>
      <w:pPr>
        <w:pStyle w:val="ListParagraph"/>
        <w:numPr>
          <w:ilvl w:val="0"/>
          <w:numId w:val="2"/>
        </w:numPr>
        <w:spacing w:after="70" w:line="264"/>
      </w:pPr>
      <w:r>
        <w:rPr>
          <w:rFonts w:ascii="Calibri" w:cs="Calibri" w:eastAsia="Calibri" w:hAnsi="Calibri"/>
          <w:sz w:val="21"/>
          <w:szCs w:val="21"/>
        </w:rPr>
        <w:t xml:space="preserve">Balance volume and rate: keep the current rate strategy and open tactical offers only on the weakest weeks.</w:t>
      </w:r>
    </w:p>
    <w:p>
      <w:pPr>
        <w:pStyle w:val="ListParagraph"/>
        <w:numPr>
          <w:ilvl w:val="0"/>
          <w:numId w:val="2"/>
        </w:numPr>
        <w:spacing w:after="70" w:line="264"/>
      </w:pPr>
      <w:r>
        <w:rPr>
          <w:rFonts w:ascii="Calibri" w:cs="Calibri" w:eastAsia="Calibri" w:hAnsi="Calibri"/>
          <w:sz w:val="21"/>
          <w:szCs w:val="21"/>
        </w:rPr>
        <w:t xml:space="preserve">Obtain rooming lists and confirm cut-off dates for the 105 RN of group blocks; release unconfirmed rooms to general sale on time.</w:t>
      </w:r>
    </w:p>
    <w:p>
      <w:pPr>
        <w:pStyle w:val="ListParagraph"/>
        <w:numPr>
          <w:ilvl w:val="0"/>
          <w:numId w:val="2"/>
        </w:numPr>
        <w:spacing w:after="70" w:line="264"/>
      </w:pPr>
      <w:r>
        <w:rPr>
          <w:rFonts w:ascii="Calibri" w:cs="Calibri" w:eastAsia="Calibri" w:hAnsi="Calibri"/>
          <w:sz w:val="21"/>
          <w:szCs w:val="21"/>
        </w:rPr>
        <w:t xml:space="preserve">Verify that 2027 rates and inventory for this month are loaded and open for sale on every channel (Opera, website, agencies, OTAs).</w:t>
      </w:r>
    </w:p>
    <w:p>
      <w:r>
        <w:br w:type="page"/>
      </w:r>
    </w:p>
    <w:p>
      <w:pPr>
        <w:pStyle w:val="Heading1"/>
        <w:spacing w:after="160" w:before="240"/>
      </w:pPr>
      <w:r>
        <w:rPr>
          <w:rFonts w:ascii="Calibri" w:cs="Calibri" w:eastAsia="Calibri" w:hAnsi="Calibri"/>
        </w:rPr>
        <w:t xml:space="preserve">7. Total Revenue Opportunities</w:t>
      </w:r>
    </w:p>
    <w:p>
      <w:pPr>
        <w:spacing w:after="120" w:before="0" w:line="276"/>
      </w:pPr>
      <w:r>
        <w:rPr>
          <w:rFonts w:ascii="Calibri" w:cs="Calibri" w:eastAsia="Calibri" w:hAnsi="Calibri"/>
          <w:sz w:val="21"/>
          <w:szCs w:val="21"/>
        </w:rPr>
        <w:t xml:space="preserve">Above the projection, the open months still have 4,234 unsold room nights. Two levers are quantified for each month at its projected value per night. Each extra 5 occupancy points is worth about $434,805 for the year. Each extra 5% of rate on the room nights still to be sold is worth about $144,319.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300"/>
        <w:gridCol w:w="1600"/>
        <w:gridCol w:w="1450"/>
        <w:gridCol w:w="1450"/>
        <w:gridCol w:w="1410"/>
      </w:tblGrid>
      <w:tr>
        <w:trPr>
          <w:tblHeader/>
        </w:trPr>
        <w:tc>
          <w:tcPr>
            <w:tcW w:type="dxa" w:w="10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Month</w:t>
            </w:r>
          </w:p>
        </w:tc>
        <w:tc>
          <w:tcPr>
            <w:tcW w:type="dxa" w:w="11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Proj. occ.</w:t>
            </w:r>
          </w:p>
        </w:tc>
        <w:tc>
          <w:tcPr>
            <w:tcW w:type="dxa" w:w="13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Unsold nights</w:t>
            </w:r>
          </w:p>
        </w:tc>
        <w:tc>
          <w:tcPr>
            <w:tcW w:type="dxa" w:w="16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+5 pts occupancy (RN)</w:t>
            </w:r>
          </w:p>
        </w:tc>
        <w:tc>
          <w:tcPr>
            <w:tcW w:type="dxa" w:w="14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Value +5 pts</w:t>
            </w:r>
          </w:p>
        </w:tc>
        <w:tc>
          <w:tcPr>
            <w:tcW w:type="dxa" w:w="145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Value +5% rate</w:t>
            </w:r>
          </w:p>
        </w:tc>
        <w:tc>
          <w:tcPr>
            <w:tcW w:type="dxa" w:w="141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Booked rate vs 2026</w:t>
            </w:r>
          </w:p>
        </w:tc>
      </w:tr>
      <w:tr>
        <w:trPr>
          <w:cantSplit/>
        </w:trPr>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Jan</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83.0%</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158</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47</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$51,532</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$10,072</w:t>
            </w:r>
          </w:p>
        </w:tc>
        <w:tc>
          <w:tcPr>
            <w:tcW w:type="dxa" w:w="14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+14.5%</w:t>
            </w:r>
          </w:p>
        </w:tc>
      </w:tr>
      <w:tr>
        <w:trPr>
          <w:cantSplit/>
        </w:trPr>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Feb</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91.3%</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73</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42</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$44,228</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$11,440</w:t>
            </w:r>
          </w:p>
        </w:tc>
        <w:tc>
          <w:tcPr>
            <w:tcW w:type="dxa" w:w="14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+15.8%</w:t>
            </w:r>
          </w:p>
        </w:tc>
      </w:tr>
      <w:tr>
        <w:trPr>
          <w:cantSplit/>
        </w:trPr>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Mar</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84.5%</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144</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47</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$48,670</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$18,729</w:t>
            </w:r>
          </w:p>
        </w:tc>
        <w:tc>
          <w:tcPr>
            <w:tcW w:type="dxa" w:w="14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+14.1%</w:t>
            </w:r>
          </w:p>
        </w:tc>
      </w:tr>
      <w:tr>
        <w:trPr>
          <w:cantSplit/>
        </w:trPr>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Apr</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61.2%</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349</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45</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$51,404</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$21,644</w:t>
            </w:r>
          </w:p>
        </w:tc>
        <w:tc>
          <w:tcPr>
            <w:tcW w:type="dxa" w:w="14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+15.8%</w:t>
            </w:r>
          </w:p>
        </w:tc>
      </w:tr>
      <w:tr>
        <w:trPr>
          <w:cantSplit/>
        </w:trPr>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May</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30.0%</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651</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47</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$37,799</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$8,206</w:t>
            </w:r>
          </w:p>
        </w:tc>
        <w:tc>
          <w:tcPr>
            <w:tcW w:type="dxa" w:w="14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−7.5%</w:t>
            </w:r>
          </w:p>
        </w:tc>
      </w:tr>
      <w:tr>
        <w:trPr>
          <w:cantSplit/>
        </w:trPr>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Jun</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34.9%</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586</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45</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$25,883</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$7,499</w:t>
            </w:r>
          </w:p>
        </w:tc>
        <w:tc>
          <w:tcPr>
            <w:tcW w:type="dxa" w:w="14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w:t>
            </w:r>
          </w:p>
        </w:tc>
      </w:tr>
      <w:tr>
        <w:trPr>
          <w:cantSplit/>
        </w:trPr>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Jul</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53.0%</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437</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47</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$46,544</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$8,450</w:t>
            </w:r>
          </w:p>
        </w:tc>
        <w:tc>
          <w:tcPr>
            <w:tcW w:type="dxa" w:w="14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w:t>
            </w:r>
          </w:p>
        </w:tc>
      </w:tr>
      <w:tr>
        <w:trPr>
          <w:cantSplit/>
        </w:trPr>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Aug</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43.3%</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527</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47</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$42,829</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$15,234</w:t>
            </w:r>
          </w:p>
        </w:tc>
        <w:tc>
          <w:tcPr>
            <w:tcW w:type="dxa" w:w="14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w:t>
            </w:r>
          </w:p>
        </w:tc>
      </w:tr>
      <w:tr>
        <w:trPr>
          <w:cantSplit/>
        </w:trPr>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Sep</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36.2%</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574</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45</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$8,454</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$3,062</w:t>
            </w:r>
          </w:p>
        </w:tc>
        <w:tc>
          <w:tcPr>
            <w:tcW w:type="dxa" w:w="14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w:t>
            </w:r>
          </w:p>
        </w:tc>
      </w:tr>
      <w:tr>
        <w:trPr>
          <w:cantSplit/>
        </w:trPr>
        <w:tc>
          <w:tcPr>
            <w:tcW w:type="dxa" w:w="10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Nov</w:t>
            </w:r>
          </w:p>
        </w:tc>
        <w:tc>
          <w:tcPr>
            <w:tcW w:type="dxa" w:w="11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48.4%</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464</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45</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$33,517</w:t>
            </w:r>
          </w:p>
        </w:tc>
        <w:tc>
          <w:tcPr>
            <w:tcW w:type="dxa" w:w="145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$13,769</w:t>
            </w:r>
          </w:p>
        </w:tc>
        <w:tc>
          <w:tcPr>
            <w:tcW w:type="dxa" w:w="141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w:t>
            </w:r>
          </w:p>
        </w:tc>
      </w:tr>
      <w:tr>
        <w:trPr>
          <w:cantSplit/>
        </w:trPr>
        <w:tc>
          <w:tcPr>
            <w:tcW w:type="dxa" w:w="10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Dec</w:t>
            </w:r>
          </w:p>
        </w:tc>
        <w:tc>
          <w:tcPr>
            <w:tcW w:type="dxa" w:w="11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71.0%</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270</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47</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$43,945</w:t>
            </w:r>
          </w:p>
        </w:tc>
        <w:tc>
          <w:tcPr>
            <w:tcW w:type="dxa" w:w="145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$26,216</w:t>
            </w:r>
          </w:p>
        </w:tc>
        <w:tc>
          <w:tcPr>
            <w:tcW w:type="dxa" w:w="141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w:t>
            </w:r>
          </w:p>
        </w:tc>
      </w:tr>
      <w:tr>
        <w:trPr>
          <w:cantSplit/>
        </w:trPr>
        <w:tc>
          <w:tcPr>
            <w:tcW w:type="dxa" w:w="10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6"/>
                <w:szCs w:val="16"/>
              </w:rPr>
              <w:t xml:space="preserve">Total</w:t>
            </w:r>
          </w:p>
        </w:tc>
        <w:tc>
          <w:tcPr>
            <w:tcW w:type="dxa" w:w="11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52.8%</w:t>
            </w:r>
          </w:p>
        </w:tc>
        <w:tc>
          <w:tcPr>
            <w:tcW w:type="dxa" w:w="13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4,234</w:t>
            </w:r>
          </w:p>
        </w:tc>
        <w:tc>
          <w:tcPr>
            <w:tcW w:type="dxa" w:w="16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501</w:t>
            </w:r>
          </w:p>
        </w:tc>
        <w:tc>
          <w:tcPr>
            <w:tcW w:type="dxa" w:w="14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$434,805</w:t>
            </w:r>
          </w:p>
        </w:tc>
        <w:tc>
          <w:tcPr>
            <w:tcW w:type="dxa" w:w="145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$144,319</w:t>
            </w:r>
          </w:p>
        </w:tc>
        <w:tc>
          <w:tcPr>
            <w:tcW w:type="dxa" w:w="141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
            </w:r>
          </w:p>
        </w:tc>
      </w:tr>
    </w:tbl>
    <w:p>
      <w:pPr>
        <w:spacing w:after="120"/>
      </w:pPr>
    </w:p>
    <w:p>
      <w:pPr>
        <w:keepNext/>
        <w:spacing w:after="60" w:before="140"/>
      </w:pPr>
      <w:r>
        <w:rPr>
          <w:rFonts w:ascii="Calibri" w:cs="Calibri" w:eastAsia="Calibri" w:hAnsi="Calibri"/>
          <w:b/>
          <w:bCs/>
          <w:color w:val="1A3A5C"/>
          <w:sz w:val="22"/>
          <w:szCs w:val="22"/>
        </w:rPr>
        <w:t xml:space="preserve">Where the upside is</w:t>
      </w:r>
    </w:p>
    <w:p>
      <w:pPr>
        <w:pStyle w:val="ListParagraph"/>
        <w:numPr>
          <w:ilvl w:val="0"/>
          <w:numId w:val="2"/>
        </w:numPr>
        <w:spacing w:after="70" w:line="264"/>
      </w:pPr>
      <w:r>
        <w:rPr>
          <w:rFonts w:ascii="Calibri" w:cs="Calibri" w:eastAsia="Calibri" w:hAnsi="Calibri"/>
          <w:sz w:val="21"/>
          <w:szCs w:val="21"/>
        </w:rPr>
        <w:t xml:space="preserve">Value per night. If 2027 sells each month at 2026's value per night, revenue would be $5,648,801 instead of $5,395,951: +$252,850 with no extra room nights. Booked rates for January–April are already 14–16% above a year ago, which supports this.</w:t>
      </w:r>
    </w:p>
    <w:p>
      <w:pPr>
        <w:pStyle w:val="ListParagraph"/>
        <w:numPr>
          <w:ilvl w:val="0"/>
          <w:numId w:val="2"/>
        </w:numPr>
        <w:spacing w:after="70" w:line="264"/>
      </w:pPr>
      <w:r>
        <w:rPr>
          <w:rFonts w:ascii="Calibri" w:cs="Calibri" w:eastAsia="Calibri" w:hAnsi="Calibri"/>
          <w:sz w:val="21"/>
          <w:szCs w:val="21"/>
        </w:rPr>
        <w:t xml:space="preserve">Shoulder and green season. May, June, August and September are projected at 30–43% occupancy, against 74–91% in the high season. Each 5 occupancy points in these four months is worth about $114,964.</w:t>
      </w:r>
    </w:p>
    <w:p>
      <w:pPr>
        <w:pStyle w:val="ListParagraph"/>
        <w:numPr>
          <w:ilvl w:val="0"/>
          <w:numId w:val="2"/>
        </w:numPr>
        <w:spacing w:after="70" w:line="264"/>
      </w:pPr>
      <w:r>
        <w:rPr>
          <w:rFonts w:ascii="Calibri" w:cs="Calibri" w:eastAsia="Calibri" w:hAnsi="Calibri"/>
          <w:sz w:val="21"/>
          <w:szCs w:val="21"/>
        </w:rPr>
        <w:t xml:space="preserve">Group blocks. 1,154 RN are blocked without rooming lists. Converting them on time protects the base; releasing them early enough lets the rooms be resold at transient rates.</w:t>
      </w:r>
    </w:p>
    <w:p>
      <w:pPr>
        <w:pStyle w:val="ListParagraph"/>
        <w:numPr>
          <w:ilvl w:val="0"/>
          <w:numId w:val="2"/>
        </w:numPr>
        <w:spacing w:after="70" w:line="264"/>
      </w:pPr>
      <w:r>
        <w:rPr>
          <w:rFonts w:ascii="Calibri" w:cs="Calibri" w:eastAsia="Calibri" w:hAnsi="Calibri"/>
          <w:sz w:val="21"/>
          <w:szCs w:val="21"/>
        </w:rPr>
        <w:t xml:space="preserve">Reservation clean-up. The flagged reservations (rate below the month median, per-person rates, missing guarantees, HOLD profiles) represent recoverable revenue in January–April. Section 6 lists them month by month.</w:t>
      </w:r>
    </w:p>
    <w:p>
      <w:r>
        <w:br w:type="page"/>
      </w:r>
    </w:p>
    <w:p>
      <w:pPr>
        <w:pStyle w:val="Heading1"/>
        <w:spacing w:after="160" w:before="240"/>
      </w:pPr>
      <w:r>
        <w:rPr>
          <w:rFonts w:ascii="Calibri" w:cs="Calibri" w:eastAsia="Calibri" w:hAnsi="Calibri"/>
        </w:rPr>
        <w:t xml:space="preserve">8. Risks and Watch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00"/>
        <w:gridCol w:w="2960"/>
      </w:tblGrid>
      <w:tr>
        <w:trPr>
          <w:tblHeader/>
        </w:trPr>
        <w:tc>
          <w:tcPr>
            <w:tcW w:type="dxa" w:w="19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Risk</w:t>
            </w:r>
          </w:p>
        </w:tc>
        <w:tc>
          <w:tcPr>
            <w:tcW w:type="dxa" w:w="13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Months</w:t>
            </w:r>
          </w:p>
        </w:tc>
        <w:tc>
          <w:tcPr>
            <w:tcW w:type="dxa" w:w="32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What we see</w:t>
            </w:r>
          </w:p>
        </w:tc>
        <w:tc>
          <w:tcPr>
            <w:tcW w:type="dxa" w:w="29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Mitigation</w:t>
            </w:r>
          </w:p>
        </w:tc>
      </w:tr>
      <w:tr>
        <w:trPr>
          <w:cantSplit/>
        </w:trPr>
        <w:tc>
          <w:tcPr>
            <w:tcW w:type="dxa" w:w="1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Slower recent booking pace</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All</w:t>
            </w:r>
          </w:p>
        </w:tc>
        <w:tc>
          <w:tcPr>
            <w:tcW w:type="dxa" w:w="32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Last 14 days: 72 RN booked for 2027 vs 102 in the same window last year (−29%).</w:t>
            </w:r>
          </w:p>
        </w:tc>
        <w:tc>
          <w:tcPr>
            <w:tcW w:type="dxa" w:w="2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Track weekly; trigger agency and direct campaigns if the trend holds for 4 weeks.</w:t>
            </w:r>
          </w:p>
        </w:tc>
      </w:tr>
      <w:tr>
        <w:trPr>
          <w:cantSplit/>
        </w:trPr>
        <w:tc>
          <w:tcPr>
            <w:tcW w:type="dxa" w:w="1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Group block attrition</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Feb, Mar, Jul, Nov, Dec</w:t>
            </w:r>
          </w:p>
        </w:tc>
        <w:tc>
          <w:tcPr>
            <w:tcW w:type="dxa" w:w="32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1,154 RN of blocks; up to 91% of July and 100% of Nov–Dec books.</w:t>
            </w:r>
          </w:p>
        </w:tc>
        <w:tc>
          <w:tcPr>
            <w:tcW w:type="dxa" w:w="2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Rooming-list deadlines, deposits, cut-off dates; release unconfirmed rooms to sale.</w:t>
            </w:r>
          </w:p>
        </w:tc>
      </w:tr>
      <w:tr>
        <w:trPr>
          <w:cantSplit/>
        </w:trPr>
        <w:tc>
          <w:tcPr>
            <w:tcW w:type="dxa" w:w="1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Year-end not yet open for sale?</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Nov, Dec</w:t>
            </w:r>
          </w:p>
        </w:tc>
        <w:tc>
          <w:tcPr>
            <w:tcW w:type="dxa" w:w="32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No individual reservations vs 43 and 5 a year ago.</w:t>
            </w:r>
          </w:p>
        </w:tc>
        <w:tc>
          <w:tcPr>
            <w:tcW w:type="dxa" w:w="2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Verify 2027 rates and inventory are loaded on all channels.</w:t>
            </w:r>
          </w:p>
        </w:tc>
      </w:tr>
      <w:tr>
        <w:trPr>
          <w:cantSplit/>
        </w:trPr>
        <w:tc>
          <w:tcPr>
            <w:tcW w:type="dxa" w:w="1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Higher cancellations</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Jan</w:t>
            </w:r>
          </w:p>
        </w:tc>
        <w:tc>
          <w:tcPr>
            <w:tcW w:type="dxa" w:w="32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130 RN cancelled (21% of booked) vs 12% last year.</w:t>
            </w:r>
          </w:p>
        </w:tc>
        <w:tc>
          <w:tcPr>
            <w:tcW w:type="dxa" w:w="2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Review deposit and cancellation terms with agencies.</w:t>
            </w:r>
          </w:p>
        </w:tc>
      </w:tr>
      <w:tr>
        <w:trPr>
          <w:cantSplit/>
        </w:trPr>
        <w:tc>
          <w:tcPr>
            <w:tcW w:type="dxa" w:w="1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Need periods</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May, Jun, Aug, Sep</w:t>
            </w:r>
          </w:p>
        </w:tc>
        <w:tc>
          <w:tcPr>
            <w:tcW w:type="dxa" w:w="32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Projected 30–43% occupancy; August and September require more pickup than 2026 achieved.</w:t>
            </w:r>
          </w:p>
        </w:tc>
        <w:tc>
          <w:tcPr>
            <w:tcW w:type="dxa" w:w="2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Green-season offers launched at least 90 days before arrival.</w:t>
            </w:r>
          </w:p>
        </w:tc>
      </w:tr>
      <w:tr>
        <w:trPr>
          <w:cantSplit/>
        </w:trPr>
        <w:tc>
          <w:tcPr>
            <w:tcW w:type="dxa" w:w="1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Room revenue overstated in the budget</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All</w:t>
            </w:r>
          </w:p>
        </w:tc>
        <w:tc>
          <w:tcPr>
            <w:tcW w:type="dxa" w:w="32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Nights at $0 were 14% of 2026 occupancy; budget net rate is applied per occupied night.</w:t>
            </w:r>
          </w:p>
        </w:tc>
        <w:tc>
          <w:tcPr>
            <w:tcW w:type="dxa" w:w="2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Add a monthly allowance for comps and $0 nights to the 2027 budget.</w:t>
            </w:r>
          </w:p>
        </w:tc>
      </w:tr>
      <w:tr>
        <w:trPr>
          <w:cantSplit/>
        </w:trPr>
        <w:tc>
          <w:tcPr>
            <w:tcW w:type="dxa" w:w="19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Revenue data quality</w:t>
            </w:r>
          </w:p>
        </w:tc>
        <w:tc>
          <w:tcPr>
            <w:tcW w:type="dxa" w:w="13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Sep</w:t>
            </w:r>
          </w:p>
        </w:tc>
        <w:tc>
          <w:tcPr>
            <w:tcW w:type="dxa" w:w="32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September 2026 at $188 per night distorts the September 2027 revenue projection.</w:t>
            </w:r>
          </w:p>
        </w:tc>
        <w:tc>
          <w:tcPr>
            <w:tcW w:type="dxa" w:w="29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sz w:val="16"/>
                <w:szCs w:val="16"/>
              </w:rPr>
              <w:t xml:space="preserve">Finance to review the revenue posted in Opera.</w:t>
            </w:r>
          </w:p>
        </w:tc>
      </w:tr>
      <w:tr>
        <w:trPr>
          <w:cantSplit/>
        </w:trPr>
        <w:tc>
          <w:tcPr>
            <w:tcW w:type="dxa" w:w="19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Prior-year reference still projected</w:t>
            </w:r>
          </w:p>
        </w:tc>
        <w:tc>
          <w:tcPr>
            <w:tcW w:type="dxa" w:w="13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Sep, Nov, Dec</w:t>
            </w:r>
          </w:p>
        </w:tc>
        <w:tc>
          <w:tcPr>
            <w:tcW w:type="dxa" w:w="32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These 2026 months have not closed; their reference is a projection.</w:t>
            </w:r>
          </w:p>
        </w:tc>
        <w:tc>
          <w:tcPr>
            <w:tcW w:type="dxa" w:w="29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val="false"/>
              <w:keepLines/>
              <w:jc w:val="left"/>
            </w:pPr>
            <w:r>
              <w:rPr>
                <w:rFonts w:ascii="Calibri" w:cs="Calibri" w:eastAsia="Calibri" w:hAnsi="Calibri"/>
                <w:sz w:val="16"/>
                <w:szCs w:val="16"/>
              </w:rPr>
              <w:t xml:space="preserve">Re-run the analysis as each month closes.</w:t>
            </w:r>
          </w:p>
        </w:tc>
      </w:tr>
    </w:tbl>
    <w:p>
      <w:pPr>
        <w:spacing w:after="160"/>
      </w:pPr>
    </w:p>
    <w:p>
      <w:pPr>
        <w:pStyle w:val="Heading1"/>
        <w:spacing w:after="160" w:before="240"/>
      </w:pPr>
      <w:r>
        <w:rPr>
          <w:rFonts w:ascii="Calibri" w:cs="Calibri" w:eastAsia="Calibri" w:hAnsi="Calibri"/>
        </w:rPr>
        <w:t xml:space="preserve">9. Recommended Action Plan (next 90 days)</w:t>
      </w:r>
    </w:p>
    <w:p>
      <w:pPr>
        <w:pStyle w:val="ListParagraph"/>
        <w:numPr>
          <w:ilvl w:val="0"/>
          <w:numId w:val="4"/>
        </w:numPr>
        <w:spacing w:after="90" w:line="264"/>
      </w:pPr>
      <w:r>
        <w:rPr>
          <w:rFonts w:ascii="Calibri" w:cs="Calibri" w:eastAsia="Calibri" w:hAnsi="Calibri"/>
          <w:sz w:val="21"/>
          <w:szCs w:val="21"/>
        </w:rPr>
        <w:t xml:space="preserve">Rooms: set a monthly ADR target per villa type based on the 2026 actual and Forecast ADR, review it weekly against Opera, and cap comps, house use and FAM nights.</w:t>
      </w:r>
    </w:p>
    <w:p>
      <w:pPr>
        <w:pStyle w:val="ListParagraph"/>
        <w:numPr>
          <w:ilvl w:val="0"/>
          <w:numId w:val="4"/>
        </w:numPr>
        <w:spacing w:after="90" w:line="264"/>
      </w:pPr>
      <w:r>
        <w:rPr>
          <w:rFonts w:ascii="Calibri" w:cs="Calibri" w:eastAsia="Calibri" w:hAnsi="Calibri"/>
          <w:sz w:val="21"/>
          <w:szCs w:val="21"/>
        </w:rPr>
        <w:t xml:space="preserve">Revenue: set the high-season rate grid (January–April 2027) to protect value per night, with minimum stays on peak dates and no discounting on months above 80% projected occupancy.</w:t>
      </w:r>
    </w:p>
    <w:p>
      <w:pPr>
        <w:pStyle w:val="ListParagraph"/>
        <w:numPr>
          <w:ilvl w:val="0"/>
          <w:numId w:val="4"/>
        </w:numPr>
        <w:spacing w:after="90" w:line="264"/>
      </w:pPr>
      <w:r>
        <w:rPr>
          <w:rFonts w:ascii="Calibri" w:cs="Calibri" w:eastAsia="Calibri" w:hAnsi="Calibri"/>
          <w:sz w:val="21"/>
          <w:szCs w:val="21"/>
        </w:rPr>
        <w:t xml:space="preserve">Sales: get rooming lists and deposit schedules for all group blocks (1,154 RN) and agree release dates, starting with February and March.</w:t>
      </w:r>
    </w:p>
    <w:p>
      <w:pPr>
        <w:pStyle w:val="ListParagraph"/>
        <w:numPr>
          <w:ilvl w:val="0"/>
          <w:numId w:val="4"/>
        </w:numPr>
        <w:spacing w:after="90" w:line="264"/>
      </w:pPr>
      <w:r>
        <w:rPr>
          <w:rFonts w:ascii="Calibri" w:cs="Calibri" w:eastAsia="Calibri" w:hAnsi="Calibri"/>
          <w:sz w:val="21"/>
          <w:szCs w:val="21"/>
        </w:rPr>
        <w:t xml:space="preserve">Distribution: confirm that November–December 2027 rates and inventory are open on Opera, the website, agencies and OTAs.</w:t>
      </w:r>
    </w:p>
    <w:p>
      <w:pPr>
        <w:pStyle w:val="ListParagraph"/>
        <w:numPr>
          <w:ilvl w:val="0"/>
          <w:numId w:val="4"/>
        </w:numPr>
        <w:spacing w:after="90" w:line="264"/>
      </w:pPr>
      <w:r>
        <w:rPr>
          <w:rFonts w:ascii="Calibri" w:cs="Calibri" w:eastAsia="Calibri" w:hAnsi="Calibri"/>
          <w:sz w:val="21"/>
          <w:szCs w:val="21"/>
        </w:rPr>
        <w:t xml:space="preserve">Marketing: launch a green-season plan (May–June, August–September) with key agencies and wholesalers, direct campaigns and packages, at least 90 days before arrival.</w:t>
      </w:r>
    </w:p>
    <w:p>
      <w:pPr>
        <w:pStyle w:val="ListParagraph"/>
        <w:numPr>
          <w:ilvl w:val="0"/>
          <w:numId w:val="4"/>
        </w:numPr>
        <w:spacing w:after="90" w:line="264"/>
      </w:pPr>
      <w:r>
        <w:rPr>
          <w:rFonts w:ascii="Calibri" w:cs="Calibri" w:eastAsia="Calibri" w:hAnsi="Calibri"/>
          <w:sz w:val="21"/>
          <w:szCs w:val="21"/>
        </w:rPr>
        <w:t xml:space="preserve">Reservations: clean up the flagged reservations and HOLD profiles listed in Section 6.</w:t>
      </w:r>
    </w:p>
    <w:p>
      <w:pPr>
        <w:pStyle w:val="ListParagraph"/>
        <w:numPr>
          <w:ilvl w:val="0"/>
          <w:numId w:val="4"/>
        </w:numPr>
        <w:spacing w:after="90" w:line="264"/>
      </w:pPr>
      <w:r>
        <w:rPr>
          <w:rFonts w:ascii="Calibri" w:cs="Calibri" w:eastAsia="Calibri" w:hAnsi="Calibri"/>
          <w:sz w:val="21"/>
          <w:szCs w:val="21"/>
        </w:rPr>
        <w:t xml:space="preserve">Budget: separate the rates for Carate vs Corcovado and Agujas vs Sirena, and add a monthly allowance for comps and $0 nights to the 2027 room revenue.</w:t>
      </w:r>
    </w:p>
    <w:p>
      <w:pPr>
        <w:pStyle w:val="ListParagraph"/>
        <w:numPr>
          <w:ilvl w:val="0"/>
          <w:numId w:val="4"/>
        </w:numPr>
        <w:spacing w:after="90" w:line="264"/>
      </w:pPr>
      <w:r>
        <w:rPr>
          <w:rFonts w:ascii="Calibri" w:cs="Calibri" w:eastAsia="Calibri" w:hAnsi="Calibri"/>
          <w:sz w:val="21"/>
          <w:szCs w:val="21"/>
        </w:rPr>
        <w:t xml:space="preserve">Finance: correct September 2026 revenue in Opera, upload a new Opera snapshot every month and report to the Board how the projection compares with each actual close.</w:t>
      </w:r>
    </w:p>
    <w:p>
      <w:r>
        <w:br w:type="page"/>
      </w:r>
    </w:p>
    <w:p>
      <w:pPr>
        <w:pStyle w:val="Heading1"/>
        <w:spacing w:after="160" w:before="240"/>
      </w:pPr>
      <w:r>
        <w:rPr>
          <w:rFonts w:ascii="Calibri" w:cs="Calibri" w:eastAsia="Calibri" w:hAnsi="Calibri"/>
        </w:rPr>
        <w:t xml:space="preserve">Appendix A — Methodology and Glossary</w:t>
      </w:r>
    </w:p>
    <w:p>
      <w:pPr>
        <w:spacing w:after="90" w:before="0" w:line="276"/>
      </w:pPr>
      <w:r>
        <w:rPr>
          <w:rFonts w:ascii="Calibri" w:cs="Calibri" w:eastAsia="Calibri" w:hAnsi="Calibri"/>
          <w:b/>
          <w:bCs/>
          <w:color w:val="1A3A5C"/>
          <w:sz w:val="21"/>
          <w:szCs w:val="21"/>
        </w:rPr>
        <w:t xml:space="preserve">On the books (OTB): </w:t>
      </w:r>
      <w:r>
        <w:rPr>
          <w:rFonts w:ascii="Calibri" w:cs="Calibri" w:eastAsia="Calibri" w:hAnsi="Calibri"/>
          <w:sz w:val="21"/>
          <w:szCs w:val="21"/>
        </w:rPr>
        <w:t xml:space="preserve">Room nights reserved today according to Opera's History &amp; Forecast; includes group blocks.</w:t>
      </w:r>
    </w:p>
    <w:p>
      <w:pPr>
        <w:spacing w:after="90" w:before="0" w:line="276"/>
      </w:pPr>
      <w:r>
        <w:rPr>
          <w:rFonts w:ascii="Calibri" w:cs="Calibri" w:eastAsia="Calibri" w:hAnsi="Calibri"/>
          <w:b/>
          <w:bCs/>
          <w:color w:val="1A3A5C"/>
          <w:sz w:val="21"/>
          <w:szCs w:val="21"/>
        </w:rPr>
        <w:t xml:space="preserve">STLY: </w:t>
      </w:r>
      <w:r>
        <w:rPr>
          <w:rFonts w:ascii="Calibri" w:cs="Calibri" w:eastAsia="Calibri" w:hAnsi="Calibri"/>
          <w:sz w:val="21"/>
          <w:szCs w:val="21"/>
        </w:rPr>
        <w:t xml:space="preserve">Same Time Last Year: what was on the books for the same month on 30 September 2025, taken from the reservation file.</w:t>
      </w:r>
    </w:p>
    <w:p>
      <w:pPr>
        <w:spacing w:after="90" w:before="0" w:line="276"/>
      </w:pPr>
      <w:r>
        <w:rPr>
          <w:rFonts w:ascii="Calibri" w:cs="Calibri" w:eastAsia="Calibri" w:hAnsi="Calibri"/>
          <w:b/>
          <w:bCs/>
          <w:color w:val="1A3A5C"/>
          <w:sz w:val="21"/>
          <w:szCs w:val="21"/>
        </w:rPr>
        <w:t xml:space="preserve">Pace: </w:t>
      </w:r>
      <w:r>
        <w:rPr>
          <w:rFonts w:ascii="Calibri" w:cs="Calibri" w:eastAsia="Calibri" w:hAnsi="Calibri"/>
          <w:sz w:val="21"/>
          <w:szCs w:val="21"/>
        </w:rPr>
        <w:t xml:space="preserve">Individual reservations today ÷ STLY. Above 100% means ahead of last year.</w:t>
      </w:r>
    </w:p>
    <w:p>
      <w:pPr>
        <w:spacing w:after="90" w:before="0" w:line="276"/>
      </w:pPr>
      <w:r>
        <w:rPr>
          <w:rFonts w:ascii="Calibri" w:cs="Calibri" w:eastAsia="Calibri" w:hAnsi="Calibri"/>
          <w:b/>
          <w:bCs/>
          <w:color w:val="1A3A5C"/>
          <w:sz w:val="21"/>
          <w:szCs w:val="21"/>
        </w:rPr>
        <w:t xml:space="preserve">Group blocks: </w:t>
      </w:r>
      <w:r>
        <w:rPr>
          <w:rFonts w:ascii="Calibri" w:cs="Calibri" w:eastAsia="Calibri" w:hAnsi="Calibri"/>
          <w:sz w:val="21"/>
          <w:szCs w:val="21"/>
        </w:rPr>
        <w:t xml:space="preserve">Group room nights in the History &amp; Forecast that do not yet have individual reservations (no rooming list).</w:t>
      </w:r>
    </w:p>
    <w:p>
      <w:pPr>
        <w:spacing w:after="90" w:before="0" w:line="276"/>
      </w:pPr>
      <w:r>
        <w:rPr>
          <w:rFonts w:ascii="Calibri" w:cs="Calibri" w:eastAsia="Calibri" w:hAnsi="Calibri"/>
          <w:b/>
          <w:bCs/>
          <w:color w:val="1A3A5C"/>
          <w:sz w:val="21"/>
          <w:szCs w:val="21"/>
        </w:rPr>
        <w:t xml:space="preserve">Availability method (used): </w:t>
      </w:r>
      <w:r>
        <w:rPr>
          <w:rFonts w:ascii="Calibri" w:cs="Calibri" w:eastAsia="Calibri" w:hAnsi="Calibri"/>
          <w:sz w:val="21"/>
          <w:szCs w:val="21"/>
        </w:rPr>
        <w:t xml:space="preserve">Projection = on the books + 2026 fill rate × rooms still free. It is capped at the rooms available.</w:t>
      </w:r>
    </w:p>
    <w:p>
      <w:pPr>
        <w:spacing w:after="90" w:before="0" w:line="276"/>
      </w:pPr>
      <w:r>
        <w:rPr>
          <w:rFonts w:ascii="Calibri" w:cs="Calibri" w:eastAsia="Calibri" w:hAnsi="Calibri"/>
          <w:b/>
          <w:bCs/>
          <w:color w:val="1A3A5C"/>
          <w:sz w:val="21"/>
          <w:szCs w:val="21"/>
        </w:rPr>
        <w:t xml:space="preserve">Add pickup method: </w:t>
      </w:r>
      <w:r>
        <w:rPr>
          <w:rFonts w:ascii="Calibri" w:cs="Calibri" w:eastAsia="Calibri" w:hAnsi="Calibri"/>
          <w:sz w:val="21"/>
          <w:szCs w:val="21"/>
        </w:rPr>
        <w:t xml:space="preserve">Projection = on the books + the room nights 2026 picked up from the same date.</w:t>
      </w:r>
    </w:p>
    <w:p>
      <w:pPr>
        <w:spacing w:after="90" w:before="0" w:line="276"/>
      </w:pPr>
      <w:r>
        <w:rPr>
          <w:rFonts w:ascii="Calibri" w:cs="Calibri" w:eastAsia="Calibri" w:hAnsi="Calibri"/>
          <w:b/>
          <w:bCs/>
          <w:color w:val="1A3A5C"/>
          <w:sz w:val="21"/>
          <w:szCs w:val="21"/>
        </w:rPr>
        <w:t xml:space="preserve">Multiply by pace method: </w:t>
      </w:r>
      <w:r>
        <w:rPr>
          <w:rFonts w:ascii="Calibri" w:cs="Calibri" w:eastAsia="Calibri" w:hAnsi="Calibri"/>
          <w:sz w:val="21"/>
          <w:szCs w:val="21"/>
        </w:rPr>
        <w:t xml:space="preserve">Projection = on the books × (2026 close ÷ STLY). It amplifies pace, so it is the most aggressive.</w:t>
      </w:r>
    </w:p>
    <w:p>
      <w:pPr>
        <w:spacing w:after="90" w:before="0" w:line="276"/>
      </w:pPr>
      <w:r>
        <w:rPr>
          <w:rFonts w:ascii="Calibri" w:cs="Calibri" w:eastAsia="Calibri" w:hAnsi="Calibri"/>
          <w:b/>
          <w:bCs/>
          <w:color w:val="1A3A5C"/>
          <w:sz w:val="21"/>
          <w:szCs w:val="21"/>
        </w:rPr>
        <w:t xml:space="preserve">Effort: </w:t>
      </w:r>
      <w:r>
        <w:rPr>
          <w:rFonts w:ascii="Calibri" w:cs="Calibri" w:eastAsia="Calibri" w:hAnsi="Calibri"/>
          <w:sz w:val="21"/>
          <w:szCs w:val="21"/>
        </w:rPr>
        <w:t xml:space="preserve">Pickup still needed ÷ pickup 2026 achieved from the same date.</w:t>
      </w:r>
    </w:p>
    <w:p>
      <w:pPr>
        <w:spacing w:after="90" w:before="0" w:line="276"/>
      </w:pPr>
      <w:r>
        <w:rPr>
          <w:rFonts w:ascii="Calibri" w:cs="Calibri" w:eastAsia="Calibri" w:hAnsi="Calibri"/>
          <w:b/>
          <w:bCs/>
          <w:color w:val="1A3A5C"/>
          <w:sz w:val="21"/>
          <w:szCs w:val="21"/>
        </w:rPr>
        <w:t xml:space="preserve">Secured: </w:t>
      </w:r>
      <w:r>
        <w:rPr>
          <w:rFonts w:ascii="Calibri" w:cs="Calibri" w:eastAsia="Calibri" w:hAnsi="Calibri"/>
          <w:sz w:val="21"/>
          <w:szCs w:val="21"/>
        </w:rPr>
        <w:t xml:space="preserve">Share of the projection already on the books.</w:t>
      </w:r>
    </w:p>
    <w:p>
      <w:pPr>
        <w:spacing w:after="90" w:before="0" w:line="276"/>
      </w:pPr>
      <w:r>
        <w:rPr>
          <w:rFonts w:ascii="Calibri" w:cs="Calibri" w:eastAsia="Calibri" w:hAnsi="Calibri"/>
          <w:b/>
          <w:bCs/>
          <w:color w:val="1A3A5C"/>
          <w:sz w:val="21"/>
          <w:szCs w:val="21"/>
        </w:rPr>
        <w:t xml:space="preserve">Revenue: </w:t>
      </w:r>
      <w:r>
        <w:rPr>
          <w:rFonts w:ascii="Calibri" w:cs="Calibri" w:eastAsia="Calibri" w:hAnsi="Calibri"/>
          <w:sz w:val="21"/>
          <w:szCs w:val="21"/>
        </w:rPr>
        <w:t xml:space="preserve">Booked revenue for the nights on the books, plus the projected nights valued at the prior-year value per night. On-site spend is estimated at 12% of room revenue.</w:t>
      </w:r>
    </w:p>
    <w:p>
      <w:pPr>
        <w:spacing w:after="90" w:before="0" w:line="276"/>
      </w:pPr>
      <w:r>
        <w:rPr>
          <w:rFonts w:ascii="Calibri" w:cs="Calibri" w:eastAsia="Calibri" w:hAnsi="Calibri"/>
          <w:b/>
          <w:bCs/>
          <w:color w:val="1A3A5C"/>
          <w:sz w:val="21"/>
          <w:szCs w:val="21"/>
        </w:rPr>
        <w:t xml:space="preserve">Confidence: </w:t>
      </w:r>
      <w:r>
        <w:rPr>
          <w:rFonts w:ascii="Calibri" w:cs="Calibri" w:eastAsia="Calibri" w:hAnsi="Calibri"/>
          <w:sz w:val="21"/>
          <w:szCs w:val="21"/>
        </w:rPr>
        <w:t xml:space="preserve">+2 if 60% or more is secured (+1 if 30–60%). +2 if effort is 90% or less (+1 if up to 110%). +1 if the reference is an actual close. +1 if pace is 100% or more. −1 or −2 if group blocks exceed 25% or 50% of the books. −1 if the reference rate is atypical. High is 5 or more, medium 3–4, low 2 or less.</w:t>
      </w:r>
    </w:p>
    <w:p>
      <w:pPr>
        <w:pStyle w:val="Heading2"/>
        <w:keepNext/>
        <w:spacing w:after="100" w:before="240"/>
      </w:pPr>
      <w:r>
        <w:rPr>
          <w:rFonts w:ascii="Calibri" w:cs="Calibri" w:eastAsia="Calibri" w:hAnsi="Calibri"/>
        </w:rPr>
        <w:t xml:space="preserve">Appendix B — Projection by Method,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400"/>
        <w:gridCol w:w="1600"/>
        <w:gridCol w:w="1400"/>
        <w:gridCol w:w="1660"/>
      </w:tblGrid>
      <w:tr>
        <w:trPr>
          <w:tblHeader/>
        </w:trPr>
        <w:tc>
          <w:tcPr>
            <w:tcW w:type="dxa" w:w="17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Month</w:t>
            </w:r>
          </w:p>
        </w:tc>
        <w:tc>
          <w:tcPr>
            <w:tcW w:type="dxa" w:w="16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Availability (used)</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Add pickup</w:t>
            </w:r>
          </w:p>
        </w:tc>
        <w:tc>
          <w:tcPr>
            <w:tcW w:type="dxa" w:w="16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Multiply by pace</w:t>
            </w:r>
          </w:p>
        </w:tc>
        <w:tc>
          <w:tcPr>
            <w:tcW w:type="dxa" w:w="140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2026 close</w:t>
            </w:r>
          </w:p>
        </w:tc>
        <w:tc>
          <w:tcPr>
            <w:tcW w:type="dxa" w:w="1660"/>
            <w:tcBorders>
              <w:top w:val="single" w:color="CBD5E0" w:sz="4"/>
              <w:left w:val="single" w:color="CBD5E0" w:sz="4"/>
              <w:bottom w:val="single" w:color="CBD5E0" w:sz="4"/>
              <w:right w:val="single" w:color="CBD5E0" w:sz="4"/>
            </w:tcBorders>
            <w:shd w:fill="2D5A9E" w:color="auto" w:val="clear"/>
            <w:tcMar>
              <w:top w:type="dxa" w:w="50"/>
              <w:left w:type="dxa" w:w="80"/>
              <w:bottom w:type="dxa" w:w="50"/>
              <w:right w:type="dxa" w:w="80"/>
            </w:tcMar>
            <w:vAlign w:val="center"/>
          </w:tcPr>
          <w:p>
            <w:pPr>
              <w:keepNext/>
              <w:keepLines/>
              <w:jc w:val="center"/>
            </w:pPr>
            <w:r>
              <w:rPr>
                <w:rFonts w:ascii="Calibri" w:cs="Calibri" w:eastAsia="Calibri" w:hAnsi="Calibri"/>
                <w:b/>
                <w:bCs/>
                <w:color w:val="FFFFFF"/>
                <w:sz w:val="16"/>
                <w:szCs w:val="16"/>
              </w:rPr>
              <w:t xml:space="preserve">Revenue (used)</w:t>
            </w:r>
          </w:p>
        </w:tc>
      </w:tr>
      <w:tr>
        <w:trPr>
          <w:cantSplit/>
        </w:trPr>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January</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772</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868</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930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688</w:t>
            </w:r>
          </w:p>
        </w:tc>
        <w:tc>
          <w:tcPr>
            <w:tcW w:type="dxa" w:w="1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$855,285</w:t>
            </w:r>
          </w:p>
        </w:tc>
      </w:tr>
      <w:tr>
        <w:trPr>
          <w:cantSplit/>
        </w:trPr>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February</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767</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840</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840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684</w:t>
            </w:r>
          </w:p>
        </w:tc>
        <w:tc>
          <w:tcPr>
            <w:tcW w:type="dxa" w:w="1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$807,969</w:t>
            </w:r>
          </w:p>
        </w:tc>
      </w:tr>
      <w:tr>
        <w:trPr>
          <w:cantSplit/>
        </w:trPr>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March</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786</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930</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930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721</w:t>
            </w:r>
          </w:p>
        </w:tc>
        <w:tc>
          <w:tcPr>
            <w:tcW w:type="dxa" w:w="1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$822,555</w:t>
            </w:r>
          </w:p>
        </w:tc>
      </w:tr>
      <w:tr>
        <w:trPr>
          <w:cantSplit/>
        </w:trPr>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April</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551</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603</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900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503</w:t>
            </w:r>
          </w:p>
        </w:tc>
        <w:tc>
          <w:tcPr>
            <w:tcW w:type="dxa" w:w="1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$629,356</w:t>
            </w:r>
          </w:p>
        </w:tc>
      </w:tr>
      <w:tr>
        <w:trPr>
          <w:cantSplit/>
        </w:trPr>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May</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279</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286</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419</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256</w:t>
            </w:r>
          </w:p>
        </w:tc>
        <w:tc>
          <w:tcPr>
            <w:tcW w:type="dxa" w:w="1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$226,715</w:t>
            </w:r>
          </w:p>
        </w:tc>
      </w:tr>
      <w:tr>
        <w:trPr>
          <w:cantSplit/>
        </w:trPr>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June</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314</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327</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900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284</w:t>
            </w:r>
          </w:p>
        </w:tc>
        <w:tc>
          <w:tcPr>
            <w:tcW w:type="dxa" w:w="1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$180,467</w:t>
            </w:r>
          </w:p>
        </w:tc>
      </w:tr>
      <w:tr>
        <w:trPr>
          <w:cantSplit/>
        </w:trPr>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July</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493</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570</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930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267</w:t>
            </w:r>
          </w:p>
        </w:tc>
        <w:tc>
          <w:tcPr>
            <w:tcW w:type="dxa" w:w="1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$493,301</w:t>
            </w:r>
          </w:p>
        </w:tc>
      </w:tr>
      <w:tr>
        <w:trPr>
          <w:cantSplit/>
        </w:trPr>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August</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403</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360</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930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292</w:t>
            </w:r>
          </w:p>
        </w:tc>
        <w:tc>
          <w:tcPr>
            <w:tcW w:type="dxa" w:w="1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$370,992</w:t>
            </w:r>
          </w:p>
        </w:tc>
      </w:tr>
      <w:tr>
        <w:trPr>
          <w:cantSplit/>
        </w:trPr>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September</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326</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226</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0</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229</w:t>
            </w:r>
          </w:p>
        </w:tc>
        <w:tc>
          <w:tcPr>
            <w:tcW w:type="dxa" w:w="1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$61,234</w:t>
            </w:r>
          </w:p>
        </w:tc>
      </w:tr>
      <w:tr>
        <w:trPr>
          <w:cantSplit/>
        </w:trPr>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October</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0</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0</w:t>
            </w:r>
          </w:p>
        </w:tc>
        <w:tc>
          <w:tcPr>
            <w:tcW w:type="dxa" w:w="1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$0</w:t>
            </w:r>
          </w:p>
        </w:tc>
      </w:tr>
      <w:tr>
        <w:trPr>
          <w:cantSplit/>
        </w:trPr>
        <w:tc>
          <w:tcPr>
            <w:tcW w:type="dxa" w:w="17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November</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436</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455</w:t>
            </w:r>
          </w:p>
        </w:tc>
        <w:tc>
          <w:tcPr>
            <w:tcW w:type="dxa" w:w="16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789</w:t>
            </w:r>
          </w:p>
        </w:tc>
        <w:tc>
          <w:tcPr>
            <w:tcW w:type="dxa" w:w="140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407</w:t>
            </w:r>
          </w:p>
        </w:tc>
        <w:tc>
          <w:tcPr>
            <w:tcW w:type="dxa" w:w="1660"/>
            <w:tcBorders>
              <w:top w:val="single" w:color="CBD5E0" w:sz="4"/>
              <w:left w:val="single" w:color="CBD5E0" w:sz="4"/>
              <w:bottom w:val="single" w:color="CBD5E0" w:sz="4"/>
              <w:right w:val="single" w:color="CBD5E0" w:sz="4"/>
            </w:tcBorders>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$324,536</w:t>
            </w:r>
          </w:p>
        </w:tc>
      </w:tr>
      <w:tr>
        <w:trPr>
          <w:cantSplit/>
        </w:trPr>
        <w:tc>
          <w:tcPr>
            <w:tcW w:type="dxa" w:w="17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left"/>
            </w:pPr>
            <w:r>
              <w:rPr>
                <w:rFonts w:ascii="Calibri" w:cs="Calibri" w:eastAsia="Calibri" w:hAnsi="Calibri"/>
                <w:b w:val="false"/>
                <w:bCs w:val="false"/>
                <w:sz w:val="16"/>
                <w:szCs w:val="16"/>
              </w:rPr>
              <w:t xml:space="preserve">December</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bCs/>
                <w:sz w:val="16"/>
                <w:szCs w:val="16"/>
              </w:rPr>
              <w:t xml:space="preserve">660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747</w:t>
            </w:r>
          </w:p>
        </w:tc>
        <w:tc>
          <w:tcPr>
            <w:tcW w:type="dxa" w:w="16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930</w:t>
            </w:r>
          </w:p>
        </w:tc>
        <w:tc>
          <w:tcPr>
            <w:tcW w:type="dxa" w:w="140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627</w:t>
            </w:r>
          </w:p>
        </w:tc>
        <w:tc>
          <w:tcPr>
            <w:tcW w:type="dxa" w:w="1660"/>
            <w:tcBorders>
              <w:top w:val="single" w:color="CBD5E0" w:sz="4"/>
              <w:left w:val="single" w:color="CBD5E0" w:sz="4"/>
              <w:bottom w:val="single" w:color="CBD5E0" w:sz="4"/>
              <w:right w:val="single" w:color="CBD5E0" w:sz="4"/>
            </w:tcBorders>
            <w:shd w:fill="F4F6F8" w:color="auto" w:val="clear"/>
            <w:tcMar>
              <w:top w:type="dxa" w:w="50"/>
              <w:left w:type="dxa" w:w="80"/>
              <w:bottom w:type="dxa" w:w="50"/>
              <w:right w:type="dxa" w:w="80"/>
            </w:tcMar>
            <w:vAlign w:val="center"/>
          </w:tcPr>
          <w:p>
            <w:pPr>
              <w:keepNext/>
              <w:keepLines/>
              <w:jc w:val="right"/>
            </w:pPr>
            <w:r>
              <w:rPr>
                <w:rFonts w:ascii="Calibri" w:cs="Calibri" w:eastAsia="Calibri" w:hAnsi="Calibri"/>
                <w:b w:val="false"/>
                <w:bCs w:val="false"/>
                <w:sz w:val="16"/>
                <w:szCs w:val="16"/>
              </w:rPr>
              <w:t xml:space="preserve">$623,542</w:t>
            </w:r>
          </w:p>
        </w:tc>
      </w:tr>
      <w:tr>
        <w:trPr>
          <w:cantSplit/>
        </w:trPr>
        <w:tc>
          <w:tcPr>
            <w:tcW w:type="dxa" w:w="17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left"/>
            </w:pPr>
            <w:r>
              <w:rPr>
                <w:rFonts w:ascii="Calibri" w:cs="Calibri" w:eastAsia="Calibri" w:hAnsi="Calibri"/>
                <w:b/>
                <w:bCs/>
                <w:sz w:val="16"/>
                <w:szCs w:val="16"/>
              </w:rPr>
              <w:t xml:space="preserve">Total</w:t>
            </w:r>
          </w:p>
        </w:tc>
        <w:tc>
          <w:tcPr>
            <w:tcW w:type="dxa" w:w="16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5,786</w:t>
            </w:r>
          </w:p>
        </w:tc>
        <w:tc>
          <w:tcPr>
            <w:tcW w:type="dxa" w:w="14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6,212</w:t>
            </w:r>
          </w:p>
        </w:tc>
        <w:tc>
          <w:tcPr>
            <w:tcW w:type="dxa" w:w="16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8,498</w:t>
            </w:r>
          </w:p>
        </w:tc>
        <w:tc>
          <w:tcPr>
            <w:tcW w:type="dxa" w:w="140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4,958</w:t>
            </w:r>
          </w:p>
        </w:tc>
        <w:tc>
          <w:tcPr>
            <w:tcW w:type="dxa" w:w="1660"/>
            <w:tcBorders>
              <w:top w:val="single" w:color="CBD5E0" w:sz="4"/>
              <w:left w:val="single" w:color="CBD5E0" w:sz="4"/>
              <w:bottom w:val="single" w:color="CBD5E0" w:sz="4"/>
              <w:right w:val="single" w:color="CBD5E0" w:sz="4"/>
            </w:tcBorders>
            <w:shd w:fill="EBF3FB" w:color="auto" w:val="clear"/>
            <w:tcMar>
              <w:top w:type="dxa" w:w="50"/>
              <w:left w:type="dxa" w:w="80"/>
              <w:bottom w:type="dxa" w:w="50"/>
              <w:right w:type="dxa" w:w="80"/>
            </w:tcMar>
            <w:vAlign w:val="center"/>
          </w:tcPr>
          <w:p>
            <w:pPr>
              <w:keepNext w:val="false"/>
              <w:keepLines/>
              <w:jc w:val="right"/>
            </w:pPr>
            <w:r>
              <w:rPr>
                <w:rFonts w:ascii="Calibri" w:cs="Calibri" w:eastAsia="Calibri" w:hAnsi="Calibri"/>
                <w:b/>
                <w:bCs/>
                <w:sz w:val="16"/>
                <w:szCs w:val="16"/>
              </w:rPr>
              <w:t xml:space="preserve">$5,395,951</w:t>
            </w:r>
          </w:p>
        </w:tc>
      </w:tr>
    </w:tbl>
    <w:p>
      <w:pPr>
        <w:pStyle w:val="Heading2"/>
        <w:keepNext/>
        <w:spacing w:after="100" w:before="240"/>
      </w:pPr>
      <w:r>
        <w:rPr>
          <w:rFonts w:ascii="Calibri" w:cs="Calibri" w:eastAsia="Calibri" w:hAnsi="Calibri"/>
        </w:rPr>
        <w:t xml:space="preserve">Appendix C — Data Sources</w:t>
      </w:r>
    </w:p>
    <w:p>
      <w:pPr>
        <w:pStyle w:val="ListParagraph"/>
        <w:numPr>
          <w:ilvl w:val="0"/>
          <w:numId w:val="2"/>
        </w:numPr>
        <w:spacing w:after="70" w:line="264"/>
      </w:pPr>
      <w:r>
        <w:rPr>
          <w:rFonts w:ascii="Calibri" w:cs="Calibri" w:eastAsia="Calibri" w:hAnsi="Calibri"/>
          <w:sz w:val="21"/>
          <w:szCs w:val="21"/>
        </w:rPr>
        <w:t xml:space="preserve">Opera History &amp; Forecast, Total Revenue and Rooms Only, as of 30-Sep-2026 (2026 actuals and 2027 on the books).</w:t>
      </w:r>
    </w:p>
    <w:p>
      <w:pPr>
        <w:pStyle w:val="ListParagraph"/>
        <w:numPr>
          <w:ilvl w:val="0"/>
          <w:numId w:val="2"/>
        </w:numPr>
        <w:spacing w:after="70" w:line="264"/>
      </w:pPr>
      <w:r>
        <w:rPr>
          <w:rFonts w:ascii="Calibri" w:cs="Calibri" w:eastAsia="Calibri" w:hAnsi="Calibri"/>
          <w:sz w:val="21"/>
          <w:szCs w:val="21"/>
        </w:rPr>
        <w:t xml:space="preserve">Opera Reservations Entered On, 1-Sep-2025 to 30-Sep-2026: 2,682 reservations. Source of STLY, pace, rates, channels and cancellations. The 1-Sep-2025 load is the system migration date.</w:t>
      </w:r>
    </w:p>
    <w:p>
      <w:pPr>
        <w:pStyle w:val="ListParagraph"/>
        <w:numPr>
          <w:ilvl w:val="0"/>
          <w:numId w:val="2"/>
        </w:numPr>
        <w:spacing w:after="70" w:line="264"/>
      </w:pPr>
      <w:r>
        <w:rPr>
          <w:rFonts w:ascii="Calibri" w:cs="Calibri" w:eastAsia="Calibri" w:hAnsi="Calibri"/>
          <w:sz w:val="21"/>
          <w:szCs w:val="21"/>
        </w:rPr>
        <w:t xml:space="preserve">2026 Financial Forecast: P&amp;L Full Year Forecast SCP CWL 2026 (January–March actual, April–December forecast), loaded in FinPlan as the 2026 target: 4,483 RN, $5,040,287 total revenue.</w:t>
      </w:r>
    </w:p>
    <w:p>
      <w:pPr>
        <w:pStyle w:val="ListParagraph"/>
        <w:numPr>
          <w:ilvl w:val="0"/>
          <w:numId w:val="2"/>
        </w:numPr>
        <w:spacing w:after="70" w:line="264"/>
      </w:pPr>
      <w:r>
        <w:rPr>
          <w:rFonts w:ascii="Calibri" w:cs="Calibri" w:eastAsia="Calibri" w:hAnsi="Calibri"/>
          <w:sz w:val="21"/>
          <w:szCs w:val="21"/>
        </w:rPr>
        <w:t xml:space="preserve">2027 room rates: BUDGET Working 2027 Net Rate in FinPlan (rack × net factor 0.797).</w:t>
      </w:r>
    </w:p>
    <w:p>
      <w:pPr>
        <w:pStyle w:val="ListParagraph"/>
        <w:numPr>
          <w:ilvl w:val="0"/>
          <w:numId w:val="2"/>
        </w:numPr>
        <w:spacing w:after="70" w:line="264"/>
      </w:pPr>
      <w:r>
        <w:rPr>
          <w:rFonts w:ascii="Calibri" w:cs="Calibri" w:eastAsia="Calibri" w:hAnsi="Calibri"/>
          <w:sz w:val="21"/>
          <w:szCs w:val="21"/>
        </w:rPr>
        <w:t xml:space="preserve">All figures come from FinPlan → Pacing (Position and Technical Analysis), which recalculates with every new Opera upload.</w:t>
      </w:r>
    </w:p>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6"/>
        <w:szCs w:val="16"/>
      </w:rPr>
      <w:t xml:space="preserve">Confidential — Board of Directors · 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8"/>
        <w:sz w:val="16"/>
        <w:szCs w:val="16"/>
      </w:rPr>
      <w:t xml:space="preserve">Corcovado Wilderness Lodge · 2027 Pacing &amp; Revenue Outlook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D5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5f08b848de9ca1096633681aca192c4fb21d0d9.png"/><Relationship Id="rId12" Type="http://schemas.openxmlformats.org/officeDocument/2006/relationships/image" Target="media/a443076141f940acfd4a6b3922b6f223118a30ed.png"/><Relationship Id="rId13" Type="http://schemas.openxmlformats.org/officeDocument/2006/relationships/image" Target="media/9bbc3ffb9bfccc1e4789e35bc1331d984148e563.png"/><Relationship Id="rId14" Type="http://schemas.openxmlformats.org/officeDocument/2006/relationships/image" Target="media/01d080ad75797e5bba7283a75e6cf255d912f12a.png"/><Relationship Id="rId15" Type="http://schemas.openxmlformats.org/officeDocument/2006/relationships/image" Target="media/c80a7a6c0de4dee5926aeb3f1f58a181ff2e3d2a.png"/><Relationship Id="rId16" Type="http://schemas.openxmlformats.org/officeDocument/2006/relationships/image" Target="media/4250fbaf3e0fc5ef2326d6d4c014861985a4b6bb.png"/><Relationship Id="rId17" Type="http://schemas.openxmlformats.org/officeDocument/2006/relationships/image" Target="media/e72c0ea2ceec422ccda49467a865de8baee8c4e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CWL 2027 Pacing &amp; Revenue Outlook</dc:title>
  <dc:creator>Finance — The Costa Rica Collection</dc:creator>
  <cp:lastModifiedBy>Un-named</cp:lastModifiedBy>
  <cp:revision>1</cp:revision>
  <dcterms:created xsi:type="dcterms:W3CDTF">2026-10-01T04:26:34.801Z</dcterms:created>
  <dcterms:modified xsi:type="dcterms:W3CDTF">2026-10-01T04:26:34.801Z</dcterms:modified>
</cp:coreProperties>
</file>

<file path=docProps/custom.xml><?xml version="1.0" encoding="utf-8"?>
<Properties xmlns="http://schemas.openxmlformats.org/officeDocument/2006/custom-properties" xmlns:vt="http://schemas.openxmlformats.org/officeDocument/2006/docPropsVTypes"/>
</file>