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bridghe/report.json" ContentType="application/json"/>
  <Override PartName="/word/media/bridghe-9decfcdc31c840d1a4b8de136280811b.png" ContentType="image/png"/>
  <Override PartName="/word/media/bridghe-9decfcdc31c840d1a4b8de136280811b.svg" ContentType="image/svg+xml"/>
  <Override PartName="/word/media/bridghe-93543baa2b934017af3798a3d2fb79d6.png" ContentType="image/png"/>
  <Override PartName="/word/media/bridghe-93543baa2b934017af3798a3d2fb79d6.svg" ContentType="image/svg+xml"/>
  <Override PartName="/word/media/bridghe-2a9a157b481242378af2eaea2e303e9b.png" ContentType="image/png"/>
  <Override PartName="/word/media/bridghe-2a9a157b481242378af2eaea2e303e9b.svg" ContentType="image/svg+xml"/>
</Types>
</file>

<file path=_rels/.rels>&#65279;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bgb77068eff0004ea7aca10b1c0e339638" Type="urn:bridghe:report:snapshot" Target="bridghe/report.json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Verifiche della trave mista e dei dettagli</w:t>
      </w:r>
    </w:p>
    <w:p>
      <w:pPr>
        <w:pStyle w:val="Subtitle"/>
      </w:pPr>
      <w:r>
        <w:t xml:space="preserve">Esempio 48 dimostrativo</w:t>
      </w:r>
    </w:p>
    <w:p>
      <w:r>
        <w:t xml:space="preserve">Autore BridGHe</w:t>
        <w:br/>
        <w:t xml:space="preserve">Revisione 01</w:t>
        <w:br/>
        <w:t xml:space="preserve">Esportazione 2026-10-21 21:21 +02:00</w:t>
      </w:r>
    </w:p>
    <w:p>
      <w:r>
        <w:t>Risultati delle verifiche delle sezioni miste e dei dettagli del ponte. Il riepilogo distingue esiti disponibili, superamenti dei limiti e informazioni mancanti.</w:t>
      </w:r>
    </w:p>
    <w:p>
      <w:pPr>
        <w:pStyle w:val="Heading1"/>
      </w:pPr>
      <w:r>
        <w:t xml:space="preserve">Riepilogo e copertura delle verifiche</w:t>
      </w:r>
    </w:p>
    <w:p>
      <w:pPr>
        <w:pStyle w:val="Normal"/>
      </w:pPr>
      <w:r>
        <w:t xml:space="preserve">Risultati forniti: 5. Configurazioni di sezione e dettaglio: 1. 200 esiti con WR numerico, di cui 0 oltre limite; 20 esiti attivi senza WR disponibile e 0 punti non attivi.</w:t>
      </w:r>
    </w:p>
    <w:p>
      <w:pPr>
        <w:pStyle w:val="Normal"/>
      </w:pPr>
      <w:r>
        <w:t xml:space="preserve">I WR disponibili sono entro limite, ma la copertura degli esiti attivi è incompleta.</w:t>
      </w:r>
    </w:p>
    <w:p>
      <w:pPr>
        <w:pStyle w:val="Normal"/>
      </w:pPr>
      <w:r>
        <w:t xml:space="preserve">I WR sono quelli nativi GPC. I controlli qualitativi possono usare valori convenzionali; non sono una misura della riserva resistente. Verifiche disattivate, assenti o non implementate non sono considerate superate. Un valore mancante non è zero. Le progressive s sono locali all'asta FEM, in mm.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374"/>
        <w:gridCol w:w="2282"/>
        <w:gridCol w:w="1711"/>
        <w:gridCol w:w="1713"/>
      </w:tblGrid>
      <w:tr>
        <w:trPr>
          <w:tblHeader/>
        </w:trPr>
        <w:tc>
          <w:tcPr>
            <w:tcW w:w="437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Famiglia</w:t>
            </w:r>
          </w:p>
        </w:tc>
        <w:tc>
          <w:tcPr>
            <w:tcW w:w="228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WR massimo disponibile</w:t>
            </w:r>
          </w:p>
        </w:tc>
        <w:tc>
          <w:tcPr>
            <w:tcW w:w="1711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Senza WR</w:t>
            </w:r>
          </w:p>
        </w:tc>
        <w:tc>
          <w:tcPr>
            <w:tcW w:w="171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Oltre limite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Tensioni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0.433618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Taglio e soletta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0.483495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Irrigiditori intermedi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Irrigiditori di appoggio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Pioli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0.942857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>Report beff69a8de22459087e19ec790317293 — 2026-10-21 21:21 +02:00. BridGHe 0.1.0.0; GPC 1.7.0.16.</w:t>
      </w:r>
    </w:p>
    <w:p>
      <w:pPr>
        <w:pStyle w:val="Normal"/>
      </w:pPr>
      <w:r>
        <w:t xml:space="preserve">Impronta dati SHA256 B1332C84E6DBD1C5DD0BA326D022FF45CCCB2E23D973C09E3B9828C9D5969707. Archivio numerico incluso nel DOCX: bridghe/report.json.</w:t>
      </w:r>
    </w:p>
    <w:p>
      <w:pPr>
        <w:pStyle w:val="Normal"/>
      </w:pPr>
      <w:r>
        <w:t xml:space="preserve">Il report documenta i risultati disponibili e le opzioni di calcolo dichiarate; non esegue nuove analisi né completa verifiche mancanti. I riferimenti nelle note sono quelli della libreria e non costituiscono un controllo indipendente di applicabilità normativa.</w:t>
      </w:r>
    </w:p>
    <w:p>
      <w:pPr>
        <w:pStyle w:val="Heading2"/>
      </w:pPr>
      <w:r>
        <w:t xml:space="preserve">Segnalazioni</w:t>
      </w:r>
    </w:p>
    <w:p>
      <w:pPr>
        <w:pStyle w:val="Normal"/>
      </w:pPr>
      <w:r>
        <w:t xml:space="preserve">R00001–R00005: CLS teso nel modello non fessurato: valutare una situazione con soletta esclusa; non è attestata la verifica del CLS in trazione.</w:t>
      </w:r>
    </w:p>
    <w:p>
      <w:pPr>
        <w:pStyle w:val="Normal"/>
      </w:pPr>
      <w:r>
        <w:t xml:space="preserve">R00001–R00005: Ritiro uniforme imposto al solo CLS: effetti primari autoequilibrati. Eventuali azioni secondarie da vincoli esterni vanno inserite come fasi N–Mx separate.</w:t>
      </w:r>
    </w:p>
    <w:p>
      <w:pPr>
        <w:pStyle w:val="Normal"/>
      </w:pPr>
      <w:r>
        <w:t xml:space="preserve">R00001–R00005: Appoggio: R è l’inviluppo SLU assegnato, indipendente dalle fasi. Piatti continui senza intagli, vincolati lateralmente alle flange. Apparecchio d’appoggio e flessione della piastra di ripartizione esclusi.</w:t>
      </w:r>
    </w:p>
    <w:p>
      <w:pPr>
        <w:pStyle w:val="Normal"/>
      </w:pPr>
      <w:r>
        <w:t xml:space="preserve">R00001–R00005: Pioli: il ritiro uniforme non genera un gradiente longitudinale nel tratto uniforme. Assegnare Δq aggiuntivo per effetti di estremità/vincolo ricavati dal modello globale.</w:t>
      </w:r>
    </w:p>
    <w:p>
      <w:pPr>
        <w:pStyle w:val="Normal"/>
      </w:pPr>
      <w:r>
        <w:t xml:space="preserve">R00001–R00005: Connessione: soletta piena, pioli verticali standard. I controlli di armatura assumono barre effettivamente ancorate e superfici a–a/b–b. Sollevamento imposto, torsione e splitting attraverso lo spessore richiedono un modello dedicato.</w:t>
      </w:r>
    </w:p>
    <w:p>
      <w:pPr>
        <w:pStyle w:val="Normal"/>
      </w:pPr>
      <w:r>
        <w:t xml:space="preserve">Associazione al modello controllata per ID trave, stazione e combinazione; i risultati non contengono un'impronta FEM sorgente per certificare la revisione del modello.</w:t>
      </w:r>
    </w:p>
    <w:p>
      <w:pPr>
        <w:pStyle w:val="Heading1"/>
      </w:pPr>
      <w:r>
        <w:t xml:space="preserve">Modello di riferimento</w:t>
      </w:r>
    </w:p>
    <w:p>
      <w:pPr>
        <w:pStyle w:val="Normal"/>
      </w:pPr>
      <w:r>
        <w:t xml:space="preserve">BridGHe phase model. Unità FEM Nmm; nodi 0, aste 1, piastre 0.</w:t>
      </w:r>
    </w:p>
    <w:p>
      <w:pPr>
        <w:pStyle w:val="Normal"/>
      </w:pPr>
      <w:r>
        <w:t xml:space="preserve">La prima versione del report non ricostruisce vincoli, asse del ponte o schema grafico globale. Inserire queste descrizioni e figure nel template quando necessarie.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66"/>
        <w:gridCol w:w="4783"/>
        <w:gridCol w:w="1366"/>
        <w:gridCol w:w="2565"/>
      </w:tblGrid>
      <w:tr>
        <w:trPr>
          <w:tblHeader/>
        </w:trPr>
        <w:tc>
          <w:tcPr>
            <w:tcW w:w="1366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Risultato</w:t>
            </w:r>
          </w:p>
        </w:tc>
        <w:tc>
          <w:tcPr>
            <w:tcW w:w="4783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Posizione e combinazione</w:t>
            </w:r>
          </w:p>
        </w:tc>
        <w:tc>
          <w:tcPr>
            <w:tcW w:w="136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Config.</w:t>
            </w:r>
          </w:p>
        </w:tc>
        <w:tc>
          <w:tcPr>
            <w:tcW w:w="2565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Fase e stato limite</w:t>
            </w:r>
          </w:p>
        </w:tc>
      </w:tr>
      <w:tr>
        <w:trPr/>
        <w:tc>
          <w:tcPr>
            <w:tcW w:w="1366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</w:t>
            </w:r>
          </w:p>
        </w:tc>
        <w:tc>
          <w:tcPr>
            <w:tcW w:w="47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/ Trave 36, s=0 mm, DEMO</w:t>
            </w:r>
          </w:p>
        </w:tc>
        <w:tc>
          <w:tcPr>
            <w:tcW w:w="136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S001</w:t>
            </w:r>
          </w:p>
        </w:tc>
        <w:tc>
          <w:tcPr>
            <w:tcW w:w="256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Strain Infinite / SLU</w:t>
            </w:r>
          </w:p>
        </w:tc>
      </w:tr>
      <w:tr>
        <w:trPr/>
        <w:tc>
          <w:tcPr>
            <w:tcW w:w="1366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R00002</w:t>
            </w:r>
          </w:p>
        </w:tc>
        <w:tc>
          <w:tcPr>
            <w:tcW w:w="47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/ Trave 36, s=625 mm, DEMO</w:t>
            </w:r>
          </w:p>
        </w:tc>
        <w:tc>
          <w:tcPr>
            <w:tcW w:w="136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S001</w:t>
            </w:r>
          </w:p>
        </w:tc>
        <w:tc>
          <w:tcPr>
            <w:tcW w:w="256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Strain Infinite / SLU</w:t>
            </w:r>
          </w:p>
        </w:tc>
      </w:tr>
      <w:tr>
        <w:trPr/>
        <w:tc>
          <w:tcPr>
            <w:tcW w:w="1366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R00003</w:t>
            </w:r>
          </w:p>
        </w:tc>
        <w:tc>
          <w:tcPr>
            <w:tcW w:w="47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/ Trave 36, s=1250 mm, DEMO</w:t>
            </w:r>
          </w:p>
        </w:tc>
        <w:tc>
          <w:tcPr>
            <w:tcW w:w="136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S001</w:t>
            </w:r>
          </w:p>
        </w:tc>
        <w:tc>
          <w:tcPr>
            <w:tcW w:w="256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Strain Infinite / SLU</w:t>
            </w:r>
          </w:p>
        </w:tc>
      </w:tr>
      <w:tr>
        <w:trPr/>
        <w:tc>
          <w:tcPr>
            <w:tcW w:w="1366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R00004</w:t>
            </w:r>
          </w:p>
        </w:tc>
        <w:tc>
          <w:tcPr>
            <w:tcW w:w="47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/ Trave 36, s=1875 mm, DEMO</w:t>
            </w:r>
          </w:p>
        </w:tc>
        <w:tc>
          <w:tcPr>
            <w:tcW w:w="136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S001</w:t>
            </w:r>
          </w:p>
        </w:tc>
        <w:tc>
          <w:tcPr>
            <w:tcW w:w="256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Strain Infinite / SLU</w:t>
            </w:r>
          </w:p>
        </w:tc>
      </w:tr>
      <w:tr>
        <w:trPr/>
        <w:tc>
          <w:tcPr>
            <w:tcW w:w="1366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47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/ Trave 36, s=2500 mm, DEMO</w:t>
            </w:r>
          </w:p>
        </w:tc>
        <w:tc>
          <w:tcPr>
            <w:tcW w:w="136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S001</w:t>
            </w:r>
          </w:p>
        </w:tc>
        <w:tc>
          <w:tcPr>
            <w:tcW w:w="256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Strain Infinite / SLU</w:t>
            </w:r>
          </w:p>
        </w:tc>
      </w:tr>
    </w:tbl>
    <w:p>
      <w:pPr>
        <w:pStyle w:val="Heading1"/>
      </w:pPr>
      <w:r>
        <w:t xml:space="preserve">Sezioni materiali e dettagli</w:t>
      </w:r>
    </w:p>
    <w:p>
      <w:pPr>
        <w:pStyle w:val="Heading2"/>
      </w:pPr>
      <w:r>
        <w:t xml:space="preserve">S001 H SLU</w:t>
      </w:r>
    </w:p>
    <w:p>
      <w:pPr>
        <w:pStyle w:val="Normal"/>
      </w:pPr>
      <w:r>
        <w:t xml:space="preserve">Le configurazioni distinguono geometria, materiali, opzioni e dettagli; configurazioni diverse della stessa asta restano separate.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6048"/>
        <w:gridCol w:w="2419"/>
        <w:gridCol w:w="1613"/>
      </w:tblGrid>
      <w:tr>
        <w:trPr>
          <w:tblHeader/>
        </w:trPr>
        <w:tc>
          <w:tcPr>
            <w:tcW w:w="60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Grandezza</w:t>
            </w:r>
          </w:p>
        </w:tc>
        <w:tc>
          <w:tcPr>
            <w:tcW w:w="2419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Valore</w:t>
            </w:r>
          </w:p>
        </w:tc>
        <w:tc>
          <w:tcPr>
            <w:tcW w:w="161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Unità</w:t>
            </w:r>
          </w:p>
        </w:tc>
      </w:tr>
      <w:tr>
        <w:trPr/>
        <w:tc>
          <w:tcPr>
            <w:tcW w:w="60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Larghezza efficace soletta</w:t>
            </w:r>
          </w:p>
        </w:tc>
        <w:tc>
          <w:tcPr>
            <w:tcW w:w="24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3000</w:t>
            </w:r>
          </w:p>
        </w:tc>
        <w:tc>
          <w:tcPr>
            <w:tcW w:w="16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</w:tr>
      <w:tr>
        <w:trPr/>
        <w:tc>
          <w:tcPr>
            <w:tcW w:w="60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Spessore soletta</w:t>
            </w:r>
          </w:p>
        </w:tc>
        <w:tc>
          <w:tcPr>
            <w:tcW w:w="24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250</w:t>
            </w:r>
          </w:p>
        </w:tc>
        <w:tc>
          <w:tcPr>
            <w:tcW w:w="16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</w:tr>
      <w:tr>
        <w:trPr/>
        <w:tc>
          <w:tcPr>
            <w:tcW w:w="60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Altezza acciaio</w:t>
            </w:r>
          </w:p>
        </w:tc>
        <w:tc>
          <w:tcPr>
            <w:tcW w:w="24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2000</w:t>
            </w:r>
          </w:p>
        </w:tc>
        <w:tc>
          <w:tcPr>
            <w:tcW w:w="16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</w:tr>
      <w:tr>
        <w:trPr/>
        <w:tc>
          <w:tcPr>
            <w:tcW w:w="60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Numero anime</w:t>
            </w:r>
          </w:p>
        </w:tc>
        <w:tc>
          <w:tcPr>
            <w:tcW w:w="24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  <w:tc>
          <w:tcPr>
            <w:tcW w:w="16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—</w:t>
            </w:r>
          </w:p>
        </w:tc>
      </w:tr>
      <w:tr>
        <w:trPr/>
        <w:tc>
          <w:tcPr>
            <w:tcW w:w="60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Spessore reale anima</w:t>
            </w:r>
          </w:p>
        </w:tc>
        <w:tc>
          <w:tcPr>
            <w:tcW w:w="24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15</w:t>
            </w:r>
          </w:p>
        </w:tc>
        <w:tc>
          <w:tcPr>
            <w:tcW w:w="16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</w:tr>
      <w:tr>
        <w:trPr/>
        <w:tc>
          <w:tcPr>
            <w:tcW w:w="60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Larghezza totale flange superiori</w:t>
            </w:r>
          </w:p>
        </w:tc>
        <w:tc>
          <w:tcPr>
            <w:tcW w:w="24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600</w:t>
            </w:r>
          </w:p>
        </w:tc>
        <w:tc>
          <w:tcPr>
            <w:tcW w:w="16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</w:tr>
      <w:tr>
        <w:trPr/>
        <w:tc>
          <w:tcPr>
            <w:tcW w:w="60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Spessore flange superiori</w:t>
            </w:r>
          </w:p>
        </w:tc>
        <w:tc>
          <w:tcPr>
            <w:tcW w:w="24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30</w:t>
            </w:r>
          </w:p>
        </w:tc>
        <w:tc>
          <w:tcPr>
            <w:tcW w:w="16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</w:tr>
      <w:tr>
        <w:trPr/>
        <w:tc>
          <w:tcPr>
            <w:tcW w:w="60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Larghezza prima piattabanda inferiore</w:t>
            </w:r>
          </w:p>
        </w:tc>
        <w:tc>
          <w:tcPr>
            <w:tcW w:w="24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800</w:t>
            </w:r>
          </w:p>
        </w:tc>
        <w:tc>
          <w:tcPr>
            <w:tcW w:w="16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</w:tr>
      <w:tr>
        <w:trPr/>
        <w:tc>
          <w:tcPr>
            <w:tcW w:w="60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Spessore prima piattabanda inferiore</w:t>
            </w:r>
          </w:p>
        </w:tc>
        <w:tc>
          <w:tcPr>
            <w:tcW w:w="24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40</w:t>
            </w:r>
          </w:p>
        </w:tc>
        <w:tc>
          <w:tcPr>
            <w:tcW w:w="16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</w:tr>
      <w:tr>
        <w:trPr/>
        <w:tc>
          <w:tcPr>
            <w:tcW w:w="60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Area acciaio</w:t>
            </w:r>
          </w:p>
        </w:tc>
        <w:tc>
          <w:tcPr>
            <w:tcW w:w="24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78950</w:t>
            </w:r>
          </w:p>
        </w:tc>
        <w:tc>
          <w:tcPr>
            <w:tcW w:w="16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mm²</w:t>
            </w:r>
          </w:p>
        </w:tc>
      </w:tr>
      <w:tr>
        <w:trPr/>
        <w:tc>
          <w:tcPr>
            <w:tcW w:w="60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Inerzia acciaio</w:t>
            </w:r>
          </w:p>
        </w:tc>
        <w:tc>
          <w:tcPr>
            <w:tcW w:w="24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5.48861E+10</w:t>
            </w:r>
          </w:p>
        </w:tc>
        <w:tc>
          <w:tcPr>
            <w:tcW w:w="16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mm⁴</w:t>
            </w:r>
          </w:p>
        </w:tc>
      </w:tr>
      <w:tr>
        <w:trPr/>
        <w:tc>
          <w:tcPr>
            <w:tcW w:w="60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Numero barre soletta</w:t>
            </w:r>
          </w:p>
        </w:tc>
        <w:tc>
          <w:tcPr>
            <w:tcW w:w="24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6</w:t>
            </w:r>
          </w:p>
        </w:tc>
        <w:tc>
          <w:tcPr>
            <w:tcW w:w="16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—</w:t>
            </w:r>
          </w:p>
        </w:tc>
      </w:tr>
    </w:tbl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41"/>
        <w:gridCol w:w="2569"/>
        <w:gridCol w:w="2570"/>
      </w:tblGrid>
      <w:tr>
        <w:trPr>
          <w:tblHeader/>
        </w:trPr>
        <w:tc>
          <w:tcPr>
            <w:tcW w:w="4941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Materiale</w:t>
            </w:r>
          </w:p>
        </w:tc>
        <w:tc>
          <w:tcPr>
            <w:tcW w:w="2569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Resistenza caratteristica MPa</w:t>
            </w:r>
          </w:p>
        </w:tc>
        <w:tc>
          <w:tcPr>
            <w:tcW w:w="2570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Modulo elastico MPa</w:t>
            </w:r>
          </w:p>
        </w:tc>
      </w:tr>
      <w:tr>
        <w:trPr/>
        <w:tc>
          <w:tcPr>
            <w:tcW w:w="4941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Acciaio S355</w:t>
            </w:r>
          </w:p>
        </w:tc>
        <w:tc>
          <w:tcPr>
            <w:tcW w:w="2569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355</w:t>
            </w:r>
          </w:p>
        </w:tc>
        <w:tc>
          <w:tcPr>
            <w:tcW w:w="2570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210000</w:t>
            </w:r>
          </w:p>
        </w:tc>
      </w:tr>
      <w:tr>
        <w:trPr/>
        <w:tc>
          <w:tcPr>
            <w:tcW w:w="4941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Calcestruzzo C32/40</w:t>
            </w:r>
          </w:p>
        </w:tc>
        <w:tc>
          <w:tcPr>
            <w:tcW w:w="2569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32</w:t>
            </w:r>
          </w:p>
        </w:tc>
        <w:tc>
          <w:tcPr>
            <w:tcW w:w="2570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33345.8</w:t>
            </w:r>
          </w:p>
        </w:tc>
      </w:tr>
      <w:tr>
        <w:trPr/>
        <w:tc>
          <w:tcPr>
            <w:tcW w:w="4941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Armatura B450</w:t>
            </w:r>
          </w:p>
        </w:tc>
        <w:tc>
          <w:tcPr>
            <w:tcW w:w="2569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450</w:t>
            </w:r>
          </w:p>
        </w:tc>
        <w:tc>
          <w:tcPr>
            <w:tcW w:w="2570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210000</w:t>
            </w:r>
          </w:p>
        </w:tc>
      </w:tr>
    </w:tbl>
    <w:p>
      <w:pPr>
        <w:pStyle w:val="Normal"/>
      </w:pPr>
      <w:r>
        <w:t xml:space="preserve">Opzioni dichiarate: EN 1994-2:2005; SLU; γM0=1.05, γM1=1.1, γM2=1.25, γC=1.5, γS=1.15, αcc=0.85. Classe 4: True.</w:t>
      </w:r>
    </w:p>
    <w:p>
      <w:pPr>
        <w:pStyle w:val="Normal"/>
      </w:pPr>
      <w:r>
        <w:t xml:space="preserve">Pioli: diametro 22 mm; altezza 180 mm; 2 pioli/fila; passo longitudinale 200 mm; trasversale 150 mm; fu 450 MPa; γV 1.25.</w:t>
      </w:r>
    </w:p>
    <w:p>
      <w:pPr>
        <w:pStyle w:val="Normal"/>
      </w:pPr>
      <w:r>
        <w:t xml:space="preserve">Irrigiditori intermedi: piatto 200 × 20 mm; pannelli 2000 e 4000 mm; fattore lunghezza 1; saldature True, gola 6 mm.</w:t>
      </w:r>
    </w:p>
    <w:p>
      <w:pPr>
        <w:pStyle w:val="Normal"/>
      </w:pPr>
      <w:r>
        <w:t xml:space="preserve">Irrigiditori di appoggio: piatto 200 × 25 mm; R assegnata 900 kN; impronta 400 × 600 mm; saldature True, gola 10 mm.</w:t>
      </w:r>
    </w:p>
    <w:p>
      <w:pPr>
        <w:pStyle w:val="Normal"/>
      </w:pPr>
      <w:r>
        <w:t xml:space="preserve">Armature trasversali: non attivati.</w:t>
      </w:r>
    </w:p>
    <w:p>
      <w:pPr>
        <w:pStyle w:val="Normal"/>
      </w:pPr>
      <w:r>
        <w:t xml:space="preserve">Fatica: non attivati.</w:t>
      </w:r>
    </w:p>
    <w:p>
      <w:pPr>
        <w:pStyle w:val="Normal"/>
      </w:pPr>
      <w:r>
        <w:t xml:space="preserve">Cassoncino: non attivati.</w:t>
      </w:r>
    </w:p>
    <w:p>
      <w:pPr>
        <w:pStyle w:val="Heading1"/>
      </w:pPr>
      <w:r>
        <w:t xml:space="preserve">Fasi azioni e combinazioni</w:t>
      </w:r>
    </w:p>
    <w:p>
      <w:pPr>
        <w:pStyle w:val="Normal"/>
      </w:pPr>
      <w:r>
        <w:t xml:space="preserve">Metodo di assemblaggio: Compatible. Gli strain sono incrementi adimensionali; i giorni sono metadati di sequenza.</w:t>
      </w:r>
    </w:p>
    <w:p>
      <w:pPr>
        <w:pStyle w:val="Heading2"/>
      </w:pPr>
      <w:r>
        <w:t xml:space="preserve">10 G1</w:t>
      </w:r>
    </w:p>
    <w:p>
      <w:pPr>
        <w:pStyle w:val="Normal"/>
      </w:pPr>
      <w:r>
        <w:t xml:space="preserve">Stato sezione Steel;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G1_GETTO / estratto beam 36 / G1_GETTO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Steel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</w:tbl>
    <w:p>
      <w:pPr>
        <w:pStyle w:val="Heading2"/>
      </w:pPr>
      <w:r>
        <w:t xml:space="preserve">20 G2</w:t>
      </w:r>
    </w:p>
    <w:p>
      <w:pPr>
        <w:pStyle w:val="Normal"/>
      </w:pPr>
      <w:r>
        <w:t xml:space="preserve">Stato sezione Composite;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G2_PERMANENTI / estratto beam 36 / G2_PERMANENTI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LongTerm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</w:tbl>
    <w:p>
      <w:pPr>
        <w:pStyle w:val="Heading2"/>
      </w:pPr>
      <w:r>
        <w:t xml:space="preserve">30 Q</w:t>
      </w:r>
    </w:p>
    <w:p>
      <w:pPr>
        <w:pStyle w:val="Normal"/>
      </w:pPr>
      <w:r>
        <w:t xml:space="preserve">Stato sezione Composite;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Q_TRAFFICO / estratto beam 36 / Q_TRAFFICO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ShortTerm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</w:tbl>
    <w:p>
      <w:pPr>
        <w:pStyle w:val="Heading2"/>
      </w:pPr>
      <w:r>
        <w:t xml:space="preserve">40 RITIRO</w:t>
      </w:r>
    </w:p>
    <w:p>
      <w:pPr>
        <w:pStyle w:val="Normal"/>
      </w:pPr>
      <w:r>
        <w:t xml:space="preserve">Stato sezione Composite;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RITIRO_FEM / estratto beam 36 / RITIRO_FEM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Shrinkage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-0.0002</w:t>
            </w:r>
          </w:p>
        </w:tc>
      </w:tr>
    </w:tbl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852"/>
        <w:gridCol w:w="5325"/>
        <w:gridCol w:w="1903"/>
      </w:tblGrid>
      <w:tr>
        <w:trPr>
          <w:tblHeader/>
        </w:trPr>
        <w:tc>
          <w:tcPr>
            <w:tcW w:w="2852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Combinazione</w:t>
            </w:r>
          </w:p>
        </w:tc>
        <w:tc>
          <w:tcPr>
            <w:tcW w:w="5325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Caso</w:t>
            </w:r>
          </w:p>
        </w:tc>
        <w:tc>
          <w:tcPr>
            <w:tcW w:w="190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Coefficiente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>I coefficienti sono quelli memorizzati nel modello; non vengono generati o maggiorati dal report. La selezione SLU o SLE del verificatore non certifica i coefficienti della combinazione.</w:t>
      </w:r>
    </w:p>
    <w:p>
      <w:pPr>
        <w:pStyle w:val="Heading1"/>
      </w:pPr>
      <w:r>
        <w:t xml:space="preserve">Verifiche governanti per voce</w:t>
      </w:r>
    </w:p>
    <w:p>
      <w:pPr>
        <w:pStyle w:val="Normal"/>
      </w:pPr>
      <w:r>
        <w:t xml:space="preserve">Massimi WR disponibili distinti per configurazione, fase, stato limite e voce. Le parità sono mantenute. Le voci senza esiti numerici compaiono separatamente.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367"/>
        <w:gridCol w:w="2183"/>
        <w:gridCol w:w="1511"/>
        <w:gridCol w:w="2019"/>
      </w:tblGrid>
      <w:tr>
        <w:trPr>
          <w:tblHeader/>
        </w:trPr>
        <w:tc>
          <w:tcPr>
            <w:tcW w:w="4367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Voce</w:t>
            </w:r>
          </w:p>
        </w:tc>
        <w:tc>
          <w:tcPr>
            <w:tcW w:w="2183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Risultati</w:t>
            </w:r>
          </w:p>
        </w:tc>
        <w:tc>
          <w:tcPr>
            <w:tcW w:w="1511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WR</w:t>
            </w:r>
          </w:p>
        </w:tc>
        <w:tc>
          <w:tcPr>
            <w:tcW w:w="2019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Fase e stato limite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Armatura · y=205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0.0191763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Armatura · y=50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0.0129435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Acciaio · estradosso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0.306186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Anima · sommità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0.295089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Anima · piede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0.418822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Acciaio · intradosso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0.433618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Anima · resistenza a taglio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0.418285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Intermedio · rigidezza pannelli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0.0763184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Intermedio · stabilità e pressoflessione II ordine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0.00848924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Intermedio · freccia fuori piano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0.00382346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Intermedio · rigidezza torsionale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Intermedio · piatti entro classe 3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0.877914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Intermedio · ingombro tra piattabande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0.683761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Intermedio · saldature verticali all’anima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0.000586896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Intermedio · saldature alle flange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0.0250517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Intermedio · gola minima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0.5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Intermedio · lunghezza efficace cordone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0.191489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Appoggio · stabilità e pressoflessione II ordine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0.308916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Appoggio · freccia fuori piano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0.014508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Appoggio · rigidezza torsionale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0.624857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Appoggio · piatti entro classe 3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Appoggio · ingombro tra piattabande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0.683761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Appoggio · saldature verticali all’anima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0.0565295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Appoggio · saldature alle flange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0.559632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Appoggio · gola minima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0.3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Appoggio · lunghezza efficace cordone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0.333333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Appoggio · impronta trasversale sotto i piatti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0.691667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Appoggio · impronta longitudinale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0.0625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Appoggio · contatto piatti/flangia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0.389242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Anima · tensione equivalente elastica (inviluppo)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0.483495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Piolo · taglio longitudinale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0.202872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Pioli · passo longitudinale minimo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0.55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Pioli · passo longitudinale massimo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0.25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Pioli · bordo libero piattabanda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0.116822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Pioli · copriferro superiore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0.571429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Pioli · diametro testa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0.942857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Pioli · spessore testa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0.88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Pioli · diametro/spessore piattabanda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0.488889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Pioli · passo trasversale minimo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0.366667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  <w:tr>
        <w:trPr/>
        <w:tc>
          <w:tcPr>
            <w:tcW w:w="436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S001 / Pioli · testa sopra armatura inferiore</w:t>
            </w:r>
          </w:p>
        </w:tc>
        <w:tc>
          <w:tcPr>
            <w:tcW w:w="2183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15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0.284542</w:t>
            </w:r>
          </w:p>
        </w:tc>
        <w:tc>
          <w:tcPr>
            <w:tcW w:w="201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Strain Infinite / SLU</w:t>
            </w:r>
          </w:p>
        </w:tc>
      </w:tr>
    </w:tbl>
    <w:p>
      <w:pPr>
        <w:pStyle w:val="Heading2"/>
      </w:pPr>
      <w:r>
        <w:t xml:space="preserve">Esiti non disponibili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21"/>
        <w:gridCol w:w="3587"/>
        <w:gridCol w:w="4272"/>
      </w:tblGrid>
      <w:tr>
        <w:trPr>
          <w:tblHeader/>
        </w:trPr>
        <w:tc>
          <w:tcPr>
            <w:tcW w:w="2221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Risultati</w:t>
            </w:r>
          </w:p>
        </w:tc>
        <w:tc>
          <w:tcPr>
            <w:tcW w:w="3587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Voce</w:t>
            </w:r>
          </w:p>
        </w:tc>
        <w:tc>
          <w:tcPr>
            <w:tcW w:w="4272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Motivo GPC</w:t>
            </w:r>
          </w:p>
        </w:tc>
      </w:tr>
      <w:tr>
        <w:trPr/>
        <w:tc>
          <w:tcPr>
            <w:tcW w:w="2221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358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Soletta · estradosso</w:t>
            </w:r>
          </w:p>
        </w:tc>
        <w:tc>
          <w:tcPr>
            <w:tcW w:w="427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Punto attivo. Materiale CLS; y=250 mm</w:t>
            </w:r>
          </w:p>
        </w:tc>
      </w:tr>
      <w:tr>
        <w:trPr/>
        <w:tc>
          <w:tcPr>
            <w:tcW w:w="2221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358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Soletta · intradosso</w:t>
            </w:r>
          </w:p>
        </w:tc>
        <w:tc>
          <w:tcPr>
            <w:tcW w:w="427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Punto attivo. Materiale CLS; y=0 mm</w:t>
            </w:r>
          </w:p>
        </w:tc>
      </w:tr>
      <w:tr>
        <w:trPr/>
        <w:tc>
          <w:tcPr>
            <w:tcW w:w="2221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358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Soletta · taglio longitudinale e splitting</w:t>
            </w:r>
          </w:p>
        </w:tc>
        <w:tc>
          <w:tcPr>
            <w:tcW w:w="427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Da verificare. Attivare l’armatura trasversale dedicata; le barre longitudinali non sono conteggiate</w:t>
            </w:r>
          </w:p>
        </w:tc>
      </w:tr>
      <w:tr>
        <w:trPr/>
        <w:tc>
          <w:tcPr>
            <w:tcW w:w="2221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R00001–R00005</w:t>
            </w:r>
          </w:p>
        </w:tc>
        <w:tc>
          <w:tcPr>
            <w:tcW w:w="358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Pioli · resistenza a fatica</w:t>
            </w:r>
          </w:p>
        </w:tc>
        <w:tc>
          <w:tcPr>
            <w:tcW w:w="427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Da verificare. Non attivata: i dettagli per azioni ripetute non sostituiscono la verifica a fatica</w:t>
            </w:r>
          </w:p>
        </w:tc>
      </w:tr>
    </w:tbl>
    <w:p>
      <w:pPr>
        <w:pStyle w:val="Heading1"/>
      </w:pPr>
      <w:r>
        <w:t xml:space="preserve">Schede dei casi governanti</w:t>
      </w:r>
    </w:p>
    <w:p>
      <w:pPr>
        <w:pStyle w:val="Normal"/>
      </w:pPr>
      <w:r>
        <w:t xml:space="preserve">Una scheda per ciascun risultato che governa almeno una famiglia, distinguendo configurazione, fase e stato limite. Domande e resistenze sono concomitanti; non si combinano massimi di casi diversi.</w:t>
      </w:r>
    </w:p>
    <w:p>
      <w:pPr>
        <w:pStyle w:val="Heading2"/>
      </w:pPr>
      <w:r>
        <w:t xml:space="preserve">R00005 S001 SLU</w:t>
      </w:r>
    </w:p>
    <w:p>
      <w:pPr>
        <w:pStyle w:val="Normal"/>
      </w:pPr>
      <w:r>
        <w:t xml:space="preserve">G2 / Trave 36, s=2500 mm, DEMO. Fase Strain Infinite. Metodo Sezione composta N–Mx · larghezze efficaci EN 1993-1-5:2006 · v1.</w:t>
      </w:r>
    </w:p>
    <w:p>
      <w:pPr>
        <w:pStyle w:val="Normal"/>
      </w:pPr>
      <w:r>
        <w:t xml:space="preserve">Campo di applicazione dichiarato dal calcolo: Analisi elastica N–Mx con connessione completa, sezione simmetrica e anima senza irrigidimenti longitudinali. b_eff della soletta è un dato di ingresso. Le fasi sono incrementi di carico già combinati; per ogni situazione la sezione efficace è comune ai contributi sommati. Il ritiro uniforme assegnato al CLS produce effetti primari locali. Non è un'analisi evolutiva con redistribuzione viscosa. Taglio e pioli hanno controlli locali dedicati. Irrigidimenti, appoggi, saldature continue, soletta trasversale e fatica dei pioli hanno verifiche opzionali con campo dichiarato. La torsione è verificata solo per il cassoncino (cella chiusa, distorsione e diaframmi, opzionali); l'instabilità globale del ponte resta esclusa.</w:t>
      </w:r>
    </w:p>
    <w:p>
      <w:pPr>
        <w:pStyle w:val="Normal"/>
      </w:pPr>
      <w:r>
        <w:t xml:space="preserve">Iterazioni 7; residuo nativo 3.44928E-08. Nessun ricalcolo nel report.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877"/>
        <w:gridCol w:w="1463"/>
        <w:gridCol w:w="1463"/>
        <w:gridCol w:w="1138"/>
        <w:gridCol w:w="1139"/>
      </w:tblGrid>
      <w:tr>
        <w:trPr>
          <w:tblHeader/>
        </w:trPr>
        <w:tc>
          <w:tcPr>
            <w:tcW w:w="4877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Verifica</w:t>
            </w:r>
          </w:p>
        </w:tc>
        <w:tc>
          <w:tcPr>
            <w:tcW w:w="146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Domanda</w:t>
            </w:r>
          </w:p>
        </w:tc>
        <w:tc>
          <w:tcPr>
            <w:tcW w:w="146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Limite</w:t>
            </w:r>
          </w:p>
        </w:tc>
        <w:tc>
          <w:tcPr>
            <w:tcW w:w="1138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Unità</w:t>
            </w:r>
          </w:p>
        </w:tc>
        <w:tc>
          <w:tcPr>
            <w:tcW w:w="1139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WR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Acciaio · intradosso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-146.604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338.095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MPa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0.433618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Anima · tensione equivalente elastica (inviluppo)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163.467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338.095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MPa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0.483495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Intermedio · rigidezza torsionale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—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Appoggio · piatti entro classe 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—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Pioli · diametro testa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35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0.942857</w:t>
            </w:r>
          </w:p>
        </w:tc>
      </w:tr>
    </w:tbl>
    <w:p>
      <w:pPr>
        <w:pStyle w:val="Normal"/>
      </w:pPr>
      <w:r>
        <w:t xml:space="preserve">Acciaio · intradosso: Materiale Acciaio; y=-2000 mm</w:t>
      </w:r>
    </w:p>
    <w:p>
      <w:pPr>
        <w:pStyle w:val="Normal"/>
      </w:pPr>
      <w:r>
        <w:t xml:space="preserve">Anima · tensione equivalente elastica (inviluppo): √(max|σ|² + 3 max|τ|²); τ sulla sezione lorda omogeneizzata</w:t>
      </w:r>
    </w:p>
    <w:p>
      <w:pPr>
        <w:pStyle w:val="Normal"/>
      </w:pPr>
      <w:r>
        <w:t xml:space="preserve">Appoggio · piatti entro classe 3: Sbalzi uniformemente compressi c/t ≤ 14ε; nessuna riduzione automatica dei piatti snelli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008"/>
        <w:gridCol w:w="1805"/>
        <w:gridCol w:w="1654"/>
        <w:gridCol w:w="1654"/>
        <w:gridCol w:w="752"/>
        <w:gridCol w:w="1207"/>
      </w:tblGrid>
      <w:tr>
        <w:trPr>
          <w:tblHeader/>
        </w:trPr>
        <w:tc>
          <w:tcPr>
            <w:tcW w:w="300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Contributo</w:t>
            </w:r>
          </w:p>
        </w:tc>
        <w:tc>
          <w:tcPr>
            <w:tcW w:w="1805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N kN</w:t>
            </w:r>
          </w:p>
        </w:tc>
        <w:tc>
          <w:tcPr>
            <w:tcW w:w="1654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Mx kNm</w:t>
            </w:r>
          </w:p>
        </w:tc>
        <w:tc>
          <w:tcPr>
            <w:tcW w:w="1654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V kN</w:t>
            </w:r>
          </w:p>
        </w:tc>
        <w:tc>
          <w:tcPr>
            <w:tcW w:w="75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n</w:t>
            </w:r>
          </w:p>
        </w:tc>
        <w:tc>
          <w:tcPr>
            <w:tcW w:w="1207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Only Steel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0.109525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-4880.59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-779.797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Infinite Time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-3.9766E-16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-1437.02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-228.847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18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Instant Time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-3.10035E-16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-1351.56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-217.464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7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Shrinkage FEM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-7.14558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-2872.91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-107.425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12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Strain Infinite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12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-0.0002</w:t>
            </w:r>
          </w:p>
        </w:tc>
      </w:tr>
    </w:tbl>
    <w:p>
      <w:pPr>
        <w:pStyle w:val="Normal"/>
      </w:pPr>
      <w:r>
        <w:t xml:space="preserve">Le azioni della tabella sono i contributi effettivi del risultato. Riferimenti di applicazione, opzioni e input locali completi sono nell'archivio incorporato. Le formule non esposte dalla libreria non sono ricostruite dal report.</w:t>
      </w:r>
    </w:p>
    <w:p>
      <w:pPr>
        <w:pStyle w:val="Heading2"/>
      </w:pPr>
      <w:r>
        <w:t xml:space="preserve">R00001 S001 SLU</w:t>
      </w:r>
    </w:p>
    <w:p>
      <w:pPr>
        <w:pStyle w:val="Normal"/>
      </w:pPr>
      <w:r>
        <w:t xml:space="preserve">G2 / Trave 36, s=0 mm, DEMO. Fase Strain Infinite. Metodo Sezione composta N–Mx · larghezze efficaci EN 1993-1-5:2006 · v1.</w:t>
      </w:r>
    </w:p>
    <w:p>
      <w:pPr>
        <w:pStyle w:val="Normal"/>
      </w:pPr>
      <w:r>
        <w:t xml:space="preserve">Campo di applicazione dichiarato dal calcolo: Analisi elastica N–Mx con connessione completa, sezione simmetrica e anima senza irrigidimenti longitudinali. b_eff della soletta è un dato di ingresso. Le fasi sono incrementi di carico già combinati; per ogni situazione la sezione efficace è comune ai contributi sommati. Il ritiro uniforme assegnato al CLS produce effetti primari locali. Non è un'analisi evolutiva con redistribuzione viscosa. Taglio e pioli hanno controlli locali dedicati. Irrigidimenti, appoggi, saldature continue, soletta trasversale e fatica dei pioli hanno verifiche opzionali con campo dichiarato. La torsione è verificata solo per il cassoncino (cella chiusa, distorsione e diaframmi, opzionali); l'instabilità globale del ponte resta esclusa.</w:t>
      </w:r>
    </w:p>
    <w:p>
      <w:pPr>
        <w:pStyle w:val="Normal"/>
      </w:pPr>
      <w:r>
        <w:t xml:space="preserve">Iterazioni 7; residuo nativo 2.32567E-08. Nessun ricalcolo nel report.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877"/>
        <w:gridCol w:w="1463"/>
        <w:gridCol w:w="1463"/>
        <w:gridCol w:w="1138"/>
        <w:gridCol w:w="1139"/>
      </w:tblGrid>
      <w:tr>
        <w:trPr>
          <w:tblHeader/>
        </w:trPr>
        <w:tc>
          <w:tcPr>
            <w:tcW w:w="4877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Verifica</w:t>
            </w:r>
          </w:p>
        </w:tc>
        <w:tc>
          <w:tcPr>
            <w:tcW w:w="146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Domanda</w:t>
            </w:r>
          </w:p>
        </w:tc>
        <w:tc>
          <w:tcPr>
            <w:tcW w:w="146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Limite</w:t>
            </w:r>
          </w:p>
        </w:tc>
        <w:tc>
          <w:tcPr>
            <w:tcW w:w="1138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Unità</w:t>
            </w:r>
          </w:p>
        </w:tc>
        <w:tc>
          <w:tcPr>
            <w:tcW w:w="1139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WR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Intermedio · rigidezza torsionale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—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Appoggio · piatti entro classe 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—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Pioli · diametro testa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35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0.942857</w:t>
            </w:r>
          </w:p>
        </w:tc>
      </w:tr>
    </w:tbl>
    <w:p>
      <w:pPr>
        <w:pStyle w:val="Normal"/>
      </w:pPr>
      <w:r>
        <w:t xml:space="preserve">Appoggio · piatti entro classe 3: Sbalzi uniformemente compressi c/t ≤ 14ε; nessuna riduzione automatica dei piatti snelli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008"/>
        <w:gridCol w:w="1805"/>
        <w:gridCol w:w="1654"/>
        <w:gridCol w:w="1654"/>
        <w:gridCol w:w="752"/>
        <w:gridCol w:w="1207"/>
      </w:tblGrid>
      <w:tr>
        <w:trPr>
          <w:tblHeader/>
        </w:trPr>
        <w:tc>
          <w:tcPr>
            <w:tcW w:w="300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Contributo</w:t>
            </w:r>
          </w:p>
        </w:tc>
        <w:tc>
          <w:tcPr>
            <w:tcW w:w="1805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N kN</w:t>
            </w:r>
          </w:p>
        </w:tc>
        <w:tc>
          <w:tcPr>
            <w:tcW w:w="1654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Mx kNm</w:t>
            </w:r>
          </w:p>
        </w:tc>
        <w:tc>
          <w:tcPr>
            <w:tcW w:w="1654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V kN</w:t>
            </w:r>
          </w:p>
        </w:tc>
        <w:tc>
          <w:tcPr>
            <w:tcW w:w="75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n</w:t>
            </w:r>
          </w:p>
        </w:tc>
        <w:tc>
          <w:tcPr>
            <w:tcW w:w="1207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Only Steel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0.109525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-3034.22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-697.297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Infinite Time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-3.9766E-16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-896.154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-203.847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18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Instant Time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-3.10035E-16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-839.15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-192.464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7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Shrinkage FEM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-7.14558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-2604.35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-107.425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12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Strain Infinite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12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-0.0002</w:t>
            </w:r>
          </w:p>
        </w:tc>
      </w:tr>
    </w:tbl>
    <w:p>
      <w:pPr>
        <w:pStyle w:val="Normal"/>
      </w:pPr>
      <w:r>
        <w:t xml:space="preserve">Le azioni della tabella sono i contributi effettivi del risultato. Riferimenti di applicazione, opzioni e input locali completi sono nell'archivio incorporato. Le formule non esposte dalla libreria non sono ricostruite dal report.</w:t>
      </w:r>
    </w:p>
    <w:p>
      <w:pPr>
        <w:pStyle w:val="Heading2"/>
      </w:pPr>
      <w:r>
        <w:t xml:space="preserve">R00002 S001 SLU</w:t>
      </w:r>
    </w:p>
    <w:p>
      <w:pPr>
        <w:pStyle w:val="Normal"/>
      </w:pPr>
      <w:r>
        <w:t xml:space="preserve">G2 / Trave 36, s=625 mm, DEMO. Fase Strain Infinite. Metodo Sezione composta N–Mx · larghezze efficaci EN 1993-1-5:2006 · v1.</w:t>
      </w:r>
    </w:p>
    <w:p>
      <w:pPr>
        <w:pStyle w:val="Normal"/>
      </w:pPr>
      <w:r>
        <w:t xml:space="preserve">Campo di applicazione dichiarato dal calcolo: Analisi elastica N–Mx con connessione completa, sezione simmetrica e anima senza irrigidimenti longitudinali. b_eff della soletta è un dato di ingresso. Le fasi sono incrementi di carico già combinati; per ogni situazione la sezione efficace è comune ai contributi sommati. Il ritiro uniforme assegnato al CLS produce effetti primari locali. Non è un'analisi evolutiva con redistribuzione viscosa. Taglio e pioli hanno controlli locali dedicati. Irrigidimenti, appoggi, saldature continue, soletta trasversale e fatica dei pioli hanno verifiche opzionali con campo dichiarato. La torsione è verificata solo per il cassoncino (cella chiusa, distorsione e diaframmi, opzionali); l'instabilità globale del ponte resta esclusa.</w:t>
      </w:r>
    </w:p>
    <w:p>
      <w:pPr>
        <w:pStyle w:val="Normal"/>
      </w:pPr>
      <w:r>
        <w:t xml:space="preserve">Iterazioni 7; residuo nativo 2.77979E-08. Nessun ricalcolo nel report.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877"/>
        <w:gridCol w:w="1463"/>
        <w:gridCol w:w="1463"/>
        <w:gridCol w:w="1138"/>
        <w:gridCol w:w="1139"/>
      </w:tblGrid>
      <w:tr>
        <w:trPr>
          <w:tblHeader/>
        </w:trPr>
        <w:tc>
          <w:tcPr>
            <w:tcW w:w="4877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Verifica</w:t>
            </w:r>
          </w:p>
        </w:tc>
        <w:tc>
          <w:tcPr>
            <w:tcW w:w="146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Domanda</w:t>
            </w:r>
          </w:p>
        </w:tc>
        <w:tc>
          <w:tcPr>
            <w:tcW w:w="146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Limite</w:t>
            </w:r>
          </w:p>
        </w:tc>
        <w:tc>
          <w:tcPr>
            <w:tcW w:w="1138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Unità</w:t>
            </w:r>
          </w:p>
        </w:tc>
        <w:tc>
          <w:tcPr>
            <w:tcW w:w="1139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WR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Intermedio · rigidezza torsionale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—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Appoggio · piatti entro classe 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—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Pioli · diametro testa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35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0.942857</w:t>
            </w:r>
          </w:p>
        </w:tc>
      </w:tr>
    </w:tbl>
    <w:p>
      <w:pPr>
        <w:pStyle w:val="Normal"/>
      </w:pPr>
      <w:r>
        <w:t xml:space="preserve">Appoggio · piatti entro classe 3: Sbalzi uniformemente compressi c/t ≤ 14ε; nessuna riduzione automatica dei piatti snelli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008"/>
        <w:gridCol w:w="1805"/>
        <w:gridCol w:w="1654"/>
        <w:gridCol w:w="1654"/>
        <w:gridCol w:w="752"/>
        <w:gridCol w:w="1207"/>
      </w:tblGrid>
      <w:tr>
        <w:trPr>
          <w:tblHeader/>
        </w:trPr>
        <w:tc>
          <w:tcPr>
            <w:tcW w:w="300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Contributo</w:t>
            </w:r>
          </w:p>
        </w:tc>
        <w:tc>
          <w:tcPr>
            <w:tcW w:w="1805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N kN</w:t>
            </w:r>
          </w:p>
        </w:tc>
        <w:tc>
          <w:tcPr>
            <w:tcW w:w="1654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Mx kNm</w:t>
            </w:r>
          </w:p>
        </w:tc>
        <w:tc>
          <w:tcPr>
            <w:tcW w:w="1654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V kN</w:t>
            </w:r>
          </w:p>
        </w:tc>
        <w:tc>
          <w:tcPr>
            <w:tcW w:w="75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n</w:t>
            </w:r>
          </w:p>
        </w:tc>
        <w:tc>
          <w:tcPr>
            <w:tcW w:w="1207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Only Steel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0.109525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-3476.48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-717.922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Infinite Time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-3.9766E-16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-1025.51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-210.097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18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Instant Time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-3.10035E-16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-961.393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-198.714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7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Shrinkage FEM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-7.14558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-2671.49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-107.425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12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Strain Infinite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12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-0.0002</w:t>
            </w:r>
          </w:p>
        </w:tc>
      </w:tr>
    </w:tbl>
    <w:p>
      <w:pPr>
        <w:pStyle w:val="Normal"/>
      </w:pPr>
      <w:r>
        <w:t xml:space="preserve">Le azioni della tabella sono i contributi effettivi del risultato. Riferimenti di applicazione, opzioni e input locali completi sono nell'archivio incorporato. Le formule non esposte dalla libreria non sono ricostruite dal report.</w:t>
      </w:r>
    </w:p>
    <w:p>
      <w:pPr>
        <w:pStyle w:val="Heading2"/>
      </w:pPr>
      <w:r>
        <w:t xml:space="preserve">R00003 S001 SLU</w:t>
      </w:r>
    </w:p>
    <w:p>
      <w:pPr>
        <w:pStyle w:val="Normal"/>
      </w:pPr>
      <w:r>
        <w:t xml:space="preserve">G2 / Trave 36, s=1250 mm, DEMO. Fase Strain Infinite. Metodo Sezione composta N–Mx · larghezze efficaci EN 1993-1-5:2006 · v1.</w:t>
      </w:r>
    </w:p>
    <w:p>
      <w:pPr>
        <w:pStyle w:val="Normal"/>
      </w:pPr>
      <w:r>
        <w:t xml:space="preserve">Campo di applicazione dichiarato dal calcolo: Analisi elastica N–Mx con connessione completa, sezione simmetrica e anima senza irrigidimenti longitudinali. b_eff della soletta è un dato di ingresso. Le fasi sono incrementi di carico già combinati; per ogni situazione la sezione efficace è comune ai contributi sommati. Il ritiro uniforme assegnato al CLS produce effetti primari locali. Non è un'analisi evolutiva con redistribuzione viscosa. Taglio e pioli hanno controlli locali dedicati. Irrigidimenti, appoggi, saldature continue, soletta trasversale e fatica dei pioli hanno verifiche opzionali con campo dichiarato. La torsione è verificata solo per il cassoncino (cella chiusa, distorsione e diaframmi, opzionali); l'instabilità globale del ponte resta esclusa.</w:t>
      </w:r>
    </w:p>
    <w:p>
      <w:pPr>
        <w:pStyle w:val="Normal"/>
      </w:pPr>
      <w:r>
        <w:t xml:space="preserve">Iterazioni 7; residuo nativo 3.10207E-08. Nessun ricalcolo nel report.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877"/>
        <w:gridCol w:w="1463"/>
        <w:gridCol w:w="1463"/>
        <w:gridCol w:w="1138"/>
        <w:gridCol w:w="1139"/>
      </w:tblGrid>
      <w:tr>
        <w:trPr>
          <w:tblHeader/>
        </w:trPr>
        <w:tc>
          <w:tcPr>
            <w:tcW w:w="4877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Verifica</w:t>
            </w:r>
          </w:p>
        </w:tc>
        <w:tc>
          <w:tcPr>
            <w:tcW w:w="146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Domanda</w:t>
            </w:r>
          </w:p>
        </w:tc>
        <w:tc>
          <w:tcPr>
            <w:tcW w:w="146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Limite</w:t>
            </w:r>
          </w:p>
        </w:tc>
        <w:tc>
          <w:tcPr>
            <w:tcW w:w="1138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Unità</w:t>
            </w:r>
          </w:p>
        </w:tc>
        <w:tc>
          <w:tcPr>
            <w:tcW w:w="1139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WR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Intermedio · rigidezza torsionale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—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Appoggio · piatti entro classe 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—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Pioli · diametro testa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35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0.942857</w:t>
            </w:r>
          </w:p>
        </w:tc>
      </w:tr>
    </w:tbl>
    <w:p>
      <w:pPr>
        <w:pStyle w:val="Normal"/>
      </w:pPr>
      <w:r>
        <w:t xml:space="preserve">Appoggio · piatti entro classe 3: Sbalzi uniformemente compressi c/t ≤ 14ε; nessuna riduzione automatica dei piatti snelli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008"/>
        <w:gridCol w:w="1805"/>
        <w:gridCol w:w="1654"/>
        <w:gridCol w:w="1654"/>
        <w:gridCol w:w="752"/>
        <w:gridCol w:w="1207"/>
      </w:tblGrid>
      <w:tr>
        <w:trPr>
          <w:tblHeader/>
        </w:trPr>
        <w:tc>
          <w:tcPr>
            <w:tcW w:w="300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Contributo</w:t>
            </w:r>
          </w:p>
        </w:tc>
        <w:tc>
          <w:tcPr>
            <w:tcW w:w="1805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N kN</w:t>
            </w:r>
          </w:p>
        </w:tc>
        <w:tc>
          <w:tcPr>
            <w:tcW w:w="1654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Mx kNm</w:t>
            </w:r>
          </w:p>
        </w:tc>
        <w:tc>
          <w:tcPr>
            <w:tcW w:w="1654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V kN</w:t>
            </w:r>
          </w:p>
        </w:tc>
        <w:tc>
          <w:tcPr>
            <w:tcW w:w="75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n</w:t>
            </w:r>
          </w:p>
        </w:tc>
        <w:tc>
          <w:tcPr>
            <w:tcW w:w="1207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Only Steel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0.109525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-3931.63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-738.547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Infinite Time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-3.9766E-16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-1158.78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-216.347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18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Instant Time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-3.10035E-16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-1087.54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-204.964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7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Shrinkage FEM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-7.14558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-2738.63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-107.425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12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Strain Infinite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12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-0.0002</w:t>
            </w:r>
          </w:p>
        </w:tc>
      </w:tr>
    </w:tbl>
    <w:p>
      <w:pPr>
        <w:pStyle w:val="Normal"/>
      </w:pPr>
      <w:r>
        <w:t xml:space="preserve">Le azioni della tabella sono i contributi effettivi del risultato. Riferimenti di applicazione, opzioni e input locali completi sono nell'archivio incorporato. Le formule non esposte dalla libreria non sono ricostruite dal report.</w:t>
      </w:r>
    </w:p>
    <w:p>
      <w:pPr>
        <w:pStyle w:val="Heading2"/>
      </w:pPr>
      <w:r>
        <w:t xml:space="preserve">R00004 S001 SLU</w:t>
      </w:r>
    </w:p>
    <w:p>
      <w:pPr>
        <w:pStyle w:val="Normal"/>
      </w:pPr>
      <w:r>
        <w:t xml:space="preserve">G2 / Trave 36, s=1875 mm, DEMO. Fase Strain Infinite. Metodo Sezione composta N–Mx · larghezze efficaci EN 1993-1-5:2006 · v1.</w:t>
      </w:r>
    </w:p>
    <w:p>
      <w:pPr>
        <w:pStyle w:val="Normal"/>
      </w:pPr>
      <w:r>
        <w:t xml:space="preserve">Campo di applicazione dichiarato dal calcolo: Analisi elastica N–Mx con connessione completa, sezione simmetrica e anima senza irrigidimenti longitudinali. b_eff della soletta è un dato di ingresso. Le fasi sono incrementi di carico già combinati; per ogni situazione la sezione efficace è comune ai contributi sommati. Il ritiro uniforme assegnato al CLS produce effetti primari locali. Non è un'analisi evolutiva con redistribuzione viscosa. Taglio e pioli hanno controlli locali dedicati. Irrigidimenti, appoggi, saldature continue, soletta trasversale e fatica dei pioli hanno verifiche opzionali con campo dichiarato. La torsione è verificata solo per il cassoncino (cella chiusa, distorsione e diaframmi, opzionali); l'instabilità globale del ponte resta esclusa.</w:t>
      </w:r>
    </w:p>
    <w:p>
      <w:pPr>
        <w:pStyle w:val="Normal"/>
      </w:pPr>
      <w:r>
        <w:t xml:space="preserve">Iterazioni 7; residuo nativo 3.31708E-08. Nessun ricalcolo nel report.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877"/>
        <w:gridCol w:w="1463"/>
        <w:gridCol w:w="1463"/>
        <w:gridCol w:w="1138"/>
        <w:gridCol w:w="1139"/>
      </w:tblGrid>
      <w:tr>
        <w:trPr>
          <w:tblHeader/>
        </w:trPr>
        <w:tc>
          <w:tcPr>
            <w:tcW w:w="4877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Verifica</w:t>
            </w:r>
          </w:p>
        </w:tc>
        <w:tc>
          <w:tcPr>
            <w:tcW w:w="146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Domanda</w:t>
            </w:r>
          </w:p>
        </w:tc>
        <w:tc>
          <w:tcPr>
            <w:tcW w:w="146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Limite</w:t>
            </w:r>
          </w:p>
        </w:tc>
        <w:tc>
          <w:tcPr>
            <w:tcW w:w="1138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Unità</w:t>
            </w:r>
          </w:p>
        </w:tc>
        <w:tc>
          <w:tcPr>
            <w:tcW w:w="1139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WR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Intermedio · rigidezza torsionale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—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Appoggio · piatti entro classe 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—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</w:tr>
      <w:tr>
        <w:trPr/>
        <w:tc>
          <w:tcPr>
            <w:tcW w:w="4877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Pioli · diametro testa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33</w:t>
            </w:r>
          </w:p>
        </w:tc>
        <w:tc>
          <w:tcPr>
            <w:tcW w:w="146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35</w:t>
            </w:r>
          </w:p>
        </w:tc>
        <w:tc>
          <w:tcPr>
            <w:tcW w:w="1138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mm</w:t>
            </w:r>
          </w:p>
        </w:tc>
        <w:tc>
          <w:tcPr>
            <w:tcW w:w="1139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0.942857</w:t>
            </w:r>
          </w:p>
        </w:tc>
      </w:tr>
    </w:tbl>
    <w:p>
      <w:pPr>
        <w:pStyle w:val="Normal"/>
      </w:pPr>
      <w:r>
        <w:t xml:space="preserve">Appoggio · piatti entro classe 3: Sbalzi uniformemente compressi c/t ≤ 14ε; nessuna riduzione automatica dei piatti snelli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008"/>
        <w:gridCol w:w="1805"/>
        <w:gridCol w:w="1654"/>
        <w:gridCol w:w="1654"/>
        <w:gridCol w:w="752"/>
        <w:gridCol w:w="1207"/>
      </w:tblGrid>
      <w:tr>
        <w:trPr>
          <w:tblHeader/>
        </w:trPr>
        <w:tc>
          <w:tcPr>
            <w:tcW w:w="300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Contributo</w:t>
            </w:r>
          </w:p>
        </w:tc>
        <w:tc>
          <w:tcPr>
            <w:tcW w:w="1805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N kN</w:t>
            </w:r>
          </w:p>
        </w:tc>
        <w:tc>
          <w:tcPr>
            <w:tcW w:w="1654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Mx kNm</w:t>
            </w:r>
          </w:p>
        </w:tc>
        <w:tc>
          <w:tcPr>
            <w:tcW w:w="1654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V kN</w:t>
            </w:r>
          </w:p>
        </w:tc>
        <w:tc>
          <w:tcPr>
            <w:tcW w:w="75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n</w:t>
            </w:r>
          </w:p>
        </w:tc>
        <w:tc>
          <w:tcPr>
            <w:tcW w:w="1207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Only Steel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0.109525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-4399.66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-759.172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Infinite Time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-3.9766E-16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-1295.95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-222.597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18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Instant Time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-3.10035E-16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-1217.6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-211.214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7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Shrinkage FEM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-7.14558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-2805.77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-107.425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12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300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Strain Infinite</w:t>
            </w:r>
          </w:p>
        </w:tc>
        <w:tc>
          <w:tcPr>
            <w:tcW w:w="1805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654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75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12</w:t>
            </w:r>
          </w:p>
        </w:tc>
        <w:tc>
          <w:tcPr>
            <w:tcW w:w="1207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-0.0002</w:t>
            </w:r>
          </w:p>
        </w:tc>
      </w:tr>
    </w:tbl>
    <w:p>
      <w:pPr>
        <w:pStyle w:val="Normal"/>
      </w:pPr>
      <w:r>
        <w:t xml:space="preserve">Le azioni della tabella sono i contributi effettivi del risultato. Riferimenti di applicazione, opzioni e input locali completi sono nell'archivio incorporato. Le formule non esposte dalla libreria non sono ricostruite dal report.</w:t>
      </w:r>
    </w:p>
    <w:p>
      <w:pPr>
        <w:pStyle w:val="Heading1"/>
      </w:pPr>
      <w:r>
        <w:t xml:space="preserve">Grafici delle verifiche</w:t>
      </w:r>
    </w:p>
    <w:p>
      <w:pPr>
        <w:pStyle w:val="Normal"/>
      </w:pPr>
      <w:r>
        <w:t xml:space="preserve">Grafici forniti dall'utente tramite SVG. La corrispondenza con i risultati del report deve essere controllata: lo SVG non contiene un'identità numerica del modello verificabile dal componente.</w:t>
      </w:r>
    </w:p>
    <w:p>
      <w:pPr>
        <w:pStyle w:val="Caption"/>
      </w:pPr>
      <w:r>
        <w:t xml:space="preserve">Pioli — PEd / PRd</w:t>
      </w:r>
    </w:p>
    <w:p>
      <w:r>
        <w:drawing>
          <wp:inline>
            <wp:extent cx="6400800" cy="3277209"/>
            <wp:docPr id="1" name="Pioli — PEd / PRd" descr="Pioli — PEd / PRd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Pioli — PEd / PRd"/>
                    <cNvPicPr/>
                  </nvPicPr>
                  <blipFill>
                    <blip xmlns="http://schemas.openxmlformats.org/drawingml/2006/main" r:embed="bg0696c6a582924ce880a13aca4e98d90b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277209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Intermedio — WR a s=0 m</w:t>
      </w:r>
    </w:p>
    <w:p>
      <w:r>
        <w:drawing>
          <wp:inline>
            <wp:extent cx="6400800" cy="3277209"/>
            <wp:docPr id="2" name="Intermedio — WR a s=0 m" descr="Intermedio — WR a s=0 m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Intermedio — WR a s=0 m"/>
                    <cNvPicPr/>
                  </nvPicPr>
                  <blipFill>
                    <blip xmlns="http://schemas.openxmlformats.org/drawingml/2006/main" r:embed="bgcd26d7219bac482ca0573e1322e36ecd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277209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Appoggio — WR a s=2.5 m</w:t>
      </w:r>
    </w:p>
    <w:p>
      <w:r>
        <w:drawing>
          <wp:inline>
            <wp:extent cx="6400800" cy="3277209"/>
            <wp:docPr id="3" name="Appoggio — WR a s=2.5 m" descr="Appoggio — WR a s=2.5 m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Appoggio — WR a s=2.5 m"/>
                    <cNvPicPr/>
                  </nvPicPr>
                  <blipFill>
                    <blip xmlns="http://schemas.openxmlformats.org/drawingml/2006/main" r:embed="bge269ef0fc86e4b3bad8654363dea4cbe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277209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Revisione 01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BridGHe    </w:t>
    </w:r>
    <w:r>
      <w:t xml:space="preserve">Esempio 48 dimostrativo</w:t>
    </w:r>
    <w:r>
      <w:t xml:space="preserv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4" w:lineRule="auto"/>
      <w:outlineLvl w:val="0"/>
    </w:pPr>
    <w:rPr>
      <w:rFonts w:ascii="Calibri" w:hAnsi="Calibr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="Calibri" w:hAnsi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="Calibri" w:hAnsi="Calibri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4" w:lineRule="auto"/>
    </w:pPr>
    <w:rPr>
      <w:rFonts w:ascii="Calibri" w:hAnsi="Calibr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64" w:lineRule="auto" w:after="140" w:before="280"/>
    </w:pPr>
    <w:rPr>
      <w:rFonts w:ascii="Calibri" w:hAnsi="Calibri"/>
      <w:b/>
      <w:bCs/>
      <w:color w:val="00000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GTableText">
    <w:name w:val="BGTableText"/>
    <w:basedOn w:val="Normal"/>
    <w:pPr>
      <w:spacing w:line="240" w:lineRule="auto" w:after="60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bg0696c6a582924ce880a13aca4e98d90b" Type="http://schemas.openxmlformats.org/officeDocument/2006/relationships/image" Target="media/bridghe-9decfcdc31c840d1a4b8de136280811b.png" /><Relationship Id="bgcd26d7219bac482ca0573e1322e36ecd" Type="http://schemas.openxmlformats.org/officeDocument/2006/relationships/image" Target="media/bridghe-93543baa2b934017af3798a3d2fb79d6.png" /><Relationship Id="bge269ef0fc86e4b3bad8654363dea4cbe" Type="http://schemas.openxmlformats.org/officeDocument/2006/relationships/image" Target="media/bridghe-2a9a157b481242378af2eaea2e303e9b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del report di verifica BridGHe</dc:title>
  <dc:subject/>
  <dc:creator>BridGHe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