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bridghe/report.json" ContentType="application/json"/>
</Types>
</file>

<file path=_rels/.rels>&#65279;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bg10b88ba61d044dbba90047a5dfa9f9b8" Type="urn:bridghe:report:snapshot" Target="bridghe/report.json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Verifiche della trave mista e dei dettagli</w:t>
      </w:r>
    </w:p>
    <w:p>
      <w:pPr>
        <w:pStyle w:val="Subtitle"/>
      </w:pPr>
      <w:r>
        <w:t xml:space="preserve">Esempio 48 dimostrativo</w:t>
      </w:r>
    </w:p>
    <w:p>
      <w:r>
        <w:t xml:space="preserve">Autore BridGHe</w:t>
        <w:br/>
        <w:t xml:space="preserve">Revisione 01</w:t>
        <w:br/>
        <w:t xml:space="preserve">Esportazione 2026-10-21 21:21 +02:00</w:t>
      </w:r>
    </w:p>
    <w:p>
      <w:r>
        <w:t>Risultati delle verifiche delle sezioni miste e dei dettagli del ponte. Il riepilogo distingue esiti disponibili, superamenti dei limiti e informazioni mancanti.</w:t>
      </w:r>
    </w:p>
    <w:p>
      <w:pPr>
        <w:pStyle w:val="Heading1"/>
      </w:pPr>
      <w:r>
        <w:t xml:space="preserve">Riepilogo e copertura delle verifiche</w:t>
      </w:r>
    </w:p>
    <w:p>
      <w:pPr>
        <w:pStyle w:val="Normal"/>
      </w:pPr>
      <w:r>
        <w:t xml:space="preserve">Risultati forniti: 5. Configurazioni di sezione e dettaglio: 1. 200 esiti con WR numerico, di cui 0 oltre limite; 20 esiti attivi senza WR disponibile e 0 punti non attivi.</w:t>
      </w:r>
    </w:p>
    <w:p>
      <w:pPr>
        <w:pStyle w:val="Normal"/>
      </w:pPr>
      <w:r>
        <w:t xml:space="preserve">I WR disponibili sono entro limite, ma la copertura degli esiti attivi è incompleta.</w:t>
      </w:r>
    </w:p>
    <w:p>
      <w:pPr>
        <w:pStyle w:val="Normal"/>
      </w:pPr>
      <w:r>
        <w:t xml:space="preserve">I WR sono quelli nativi GPC. I controlli qualitativi possono usare valori convenzionali; non sono una misura della riserva resistente. Verifiche disattivate, assenti o non implementate non sono considerate superate. Un valore mancante non è zero. Le progressive s sono locali all'asta FEM, in mm.</w:t>
      </w:r>
    </w:p>
    <w:tbl>
      <w:tblPr>
        <w:tblStyle w:val="TableGrid"/>
        <w:tblW w:w="1008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4374"/>
        <w:gridCol w:w="2282"/>
        <w:gridCol w:w="1711"/>
        <w:gridCol w:w="1713"/>
      </w:tblGrid>
      <w:tr>
        <w:trPr>
          <w:tblHeader/>
        </w:trPr>
        <w:tc>
          <w:tcPr>
            <w:tcW w:w="4374" w:type="dxa"/>
            <w:vAlign w:val="center"/>
            <w:shd w:fill="E3EDF4"/>
          </w:tcPr>
          <w:p>
            <w:pPr>
              <w:pStyle w:val="BGTableText"/>
              <w:spacing w:after="50"/>
              <w:jc w:val="left"/>
              <w:keepNext/>
            </w:pPr>
            <w:r>
              <w:rPr>
                <w:b/>
              </w:rPr>
              <w:t xml:space="preserve">Famiglia</w:t>
            </w:r>
          </w:p>
        </w:tc>
        <w:tc>
          <w:tcPr>
            <w:tcW w:w="2282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WR massimo disponibile</w:t>
            </w:r>
          </w:p>
        </w:tc>
        <w:tc>
          <w:tcPr>
            <w:tcW w:w="1711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Senza WR</w:t>
            </w:r>
          </w:p>
        </w:tc>
        <w:tc>
          <w:tcPr>
            <w:tcW w:w="1713" w:type="dxa"/>
            <w:vAlign w:val="center"/>
            <w:shd w:fill="E3EDF4"/>
          </w:tcPr>
          <w:p>
            <w:pPr>
              <w:pStyle w:val="BGTableText"/>
              <w:spacing w:after="50"/>
              <w:jc w:val="center"/>
              <w:keepNext/>
            </w:pPr>
            <w:r>
              <w:rPr>
                <w:b/>
              </w:rPr>
              <w:t xml:space="preserve">Oltre limite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Tensioni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0.433618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Taglio e soletta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0.483495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Irrigiditori intermedi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0.958583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Irrigiditori di appoggio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0.702332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  <w:tr>
        <w:trPr/>
        <w:tc>
          <w:tcPr>
            <w:tcW w:w="4374" w:type="dxa"/>
            <w:vAlign w:val="center"/>
            <w:shd w:fill="FFFFFF"/>
          </w:tcPr>
          <w:p>
            <w:pPr>
              <w:pStyle w:val="BGTableText"/>
              <w:spacing w:after="50"/>
              <w:jc w:val="left"/>
            </w:pPr>
            <w:r>
              <w:t xml:space="preserve">Pioli</w:t>
            </w:r>
          </w:p>
        </w:tc>
        <w:tc>
          <w:tcPr>
            <w:tcW w:w="2282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0.942857</w:t>
            </w:r>
          </w:p>
        </w:tc>
        <w:tc>
          <w:tcPr>
            <w:tcW w:w="1711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10</w:t>
            </w:r>
          </w:p>
        </w:tc>
        <w:tc>
          <w:tcPr>
            <w:tcW w:w="1713" w:type="dxa"/>
            <w:vAlign w:val="center"/>
            <w:shd w:fill="FFFFFF"/>
          </w:tcPr>
          <w:p>
            <w:pPr>
              <w:pStyle w:val="BGTableText"/>
              <w:spacing w:after="50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>Report 301c0c3d80fd41de9fa8acefdb72e32e — 2026-10-21 21:21 +02:00. BridGHe 0.1.0.0; GPC 1.7.0.16.</w:t>
      </w:r>
    </w:p>
    <w:p>
      <w:pPr>
        <w:pStyle w:val="Normal"/>
      </w:pPr>
      <w:r>
        <w:t xml:space="preserve">Impronta dati SHA256 B1332C84E6DBD1C5DD0BA326D022FF45CCCB2E23D973C09E3B9828C9D5969707. Archivio numerico incluso nel DOCX: bridghe/report.json.</w:t>
      </w:r>
    </w:p>
    <w:p>
      <w:pPr>
        <w:pStyle w:val="Normal"/>
      </w:pPr>
      <w:r>
        <w:t xml:space="preserve">Il report documenta i risultati disponibili e le opzioni di calcolo dichiarate; non esegue nuove analisi né completa verifiche mancanti. I riferimenti nelle note sono quelli della libreria e non costituiscono un controllo indipendente di applicabilità normativa.</w:t>
      </w:r>
    </w:p>
    <w:p>
      <w:pPr>
        <w:pStyle w:val="Heading2"/>
      </w:pPr>
      <w:r>
        <w:t xml:space="preserve">Segnalazioni</w:t>
      </w:r>
    </w:p>
    <w:p>
      <w:pPr>
        <w:pStyle w:val="Normal"/>
      </w:pPr>
      <w:r>
        <w:t xml:space="preserve">R00001–R00005: CLS teso nel modello non fessurato: valutare una situazione con soletta esclusa; non è attestata la verifica del CLS in trazione.</w:t>
      </w:r>
    </w:p>
    <w:p>
      <w:pPr>
        <w:pStyle w:val="Normal"/>
      </w:pPr>
      <w:r>
        <w:t xml:space="preserve">R00001–R00005: Ritiro uniforme imposto al solo CLS: effetti primari autoequilibrati. Eventuali azioni secondarie da vincoli esterni vanno inserite come fasi N–Mx separate.</w:t>
      </w:r>
    </w:p>
    <w:p>
      <w:pPr>
        <w:pStyle w:val="Normal"/>
      </w:pPr>
      <w:r>
        <w:t xml:space="preserve">R00001–R00005: Appoggio: R è l’inviluppo SLU assegnato, indipendente dalle fasi. Piatti continui senza intagli, vincolati lateralmente alle flange. Apparecchio d’appoggio e flessione della piastra di ripartizione esclusi.</w:t>
      </w:r>
    </w:p>
    <w:p>
      <w:pPr>
        <w:pStyle w:val="Normal"/>
      </w:pPr>
      <w:r>
        <w:t xml:space="preserve">R00001–R00005: Pioli: il ritiro uniforme non genera un gradiente longitudinale nel tratto uniforme. Assegnare Δq aggiuntivo per effetti di estremità/vincolo ricavati dal modello globale.</w:t>
      </w:r>
    </w:p>
    <w:p>
      <w:pPr>
        <w:pStyle w:val="Normal"/>
      </w:pPr>
      <w:r>
        <w:t xml:space="preserve">R00001–R00005: Connessione: soletta piena, pioli verticali standard. I controlli di armatura assumono barre effettivamente ancorate e superfici a–a/b–b. Sollevamento imposto, torsione e splitting attraverso lo spessore richiedono un modello dedicato.</w:t>
      </w:r>
    </w:p>
    <w:p>
      <w:pPr>
        <w:pStyle w:val="Normal"/>
      </w:pPr>
      <w:r>
        <w:t xml:space="preserve">Associazione al modello controllata per ID trave, stazione e combinazione; i risultati non contengono un'impronta FEM sorgente per certificare la revisione del modello.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Revisione 01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 xml:space="preserve">BridGHe    </w:t>
    </w:r>
    <w:r>
      <w:t xml:space="preserve">Esempio 48 dimostrativo</w:t>
    </w:r>
    <w:r>
      <w:t xml:space="preserv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64" w:lineRule="auto"/>
      <w:outlineLvl w:val="0"/>
    </w:pPr>
    <w:rPr>
      <w:rFonts w:ascii="Calibri" w:hAnsi="Calibr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64" w:lineRule="auto"/>
      <w:outlineLvl w:val="1"/>
    </w:pPr>
    <w:rPr>
      <w:rFonts w:ascii="Calibri" w:hAnsi="Calibri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64" w:lineRule="auto"/>
      <w:contextualSpacing/>
    </w:pPr>
    <w:rPr>
      <w:rFonts w:ascii="Calibri" w:hAnsi="Calibri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64" w:lineRule="auto"/>
    </w:pPr>
    <w:rPr>
      <w:rFonts w:ascii="Calibri" w:hAnsi="Calibri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64" w:lineRule="auto" w:after="140" w:before="280"/>
    </w:pPr>
    <w:rPr>
      <w:rFonts w:ascii="Calibri" w:hAnsi="Calibri"/>
      <w:b/>
      <w:bCs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GTableText">
    <w:name w:val="BGTableText"/>
    <w:basedOn w:val="Normal"/>
    <w:pPr>
      <w:spacing w:line="240" w:lineRule="auto" w:after="60"/>
    </w:pPr>
    <w:rPr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del report di verifica BridGHe</dc:title>
  <dc:subject/>
  <dc:creator>BridGHe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