
<file path=[Content_Types].xml><?xml version="1.0" encoding="utf-8"?>
<Types xmlns="http://schemas.openxmlformats.org/package/2006/content-types">
  <Default Extension="rels" ContentType="application/vnd.openxmlformats-package.relationships+xml"/>
  <Default Extension="xml" ContentType="application/xml"/>
  <Default Extension="psmdcp" ContentType="application/vnd.openxmlformats-package.core-properti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custom-properties" Target="docProps/custom.xml" Id="rId2" /><Relationship Type="http://schemas.openxmlformats.org/officeDocument/2006/relationships/officeDocument" Target="word/document.xml" Id="rId1" /><Relationship Type="http://schemas.openxmlformats.org/officeDocument/2006/relationships/extended-properties" Target="docProps/app.xml" Id="R31fa0ba70d2a4871" /><Relationship Type="http://schemas.openxmlformats.org/package/2006/relationships/metadata/core-properties" Target="package/services/metadata/core-properties/c0d49abd2bed43e199dd803a38b3da3f.psmdcp" Id="Rbf000de0a0d548e2"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rPr/>
      </w:pPr>
      <w:r w:rsidRPr="00000000" w:rsidDel="00000000" w:rsidR="00000000">
        <w:rPr>
          <w:rtl w:val="0"/>
        </w:rPr>
        <w:t xml:space="preserve">Industry Sessions:</w:t>
      </w:r>
    </w:p>
    <w:p xmlns:wp14="http://schemas.microsoft.com/office/word/2010/wordml" w:rsidRPr="00000000" w:rsidR="00000000" w:rsidDel="00000000" w:rsidP="00000000" w:rsidRDefault="00000000" w14:paraId="00000002" wp14:textId="77777777">
      <w:pPr>
        <w:rPr/>
      </w:pPr>
      <w:r w:rsidRPr="00000000" w:rsidDel="00000000" w:rsidR="00000000">
        <w:rPr>
          <w:rtl w:val="0"/>
        </w:rPr>
      </w:r>
    </w:p>
    <w:p xmlns:wp14="http://schemas.microsoft.com/office/word/2010/wordml" w:rsidRPr="00000000" w:rsidR="00000000" w:rsidDel="00000000" w:rsidP="00000000" w:rsidRDefault="00000000" w14:paraId="00000003" wp14:textId="77777777">
      <w:pPr/>
      <w:r w:rsidRPr="00000000" w:rsidDel="00000000" w:rsidR="00000000">
        <w:rPr>
          <w:rtl w:val="0"/>
        </w:rPr>
        <w:tab/>
      </w:r>
      <w:r w:rsidRPr="00000000" w:rsidDel="00000000" w:rsidR="452B2DC6">
        <w:rPr/>
        <w:t xml:space="preserve">Over the course of this month, we have been very fortunate to be able to host a series of talks with industry professionals. These sessions, which run on a weekly basis, are aimed at guiding our learners through lived experience. Each session usually focuses on what each professional’s career journey looked like — from university, to their first job, and all of their work experience. Our guests have all worked in various fields ranging from Information Technology, to Fintech, Accounting, Consultancy — even going as far back to talk about when they worked in fast-food jobs. Each speaker showed us that we all have to begin somewhere, and that your career journey isn’t always a straight trajectory. </w:t>
      </w:r>
    </w:p>
    <w:p xmlns:wp14="http://schemas.microsoft.com/office/word/2010/wordml" w:rsidRPr="00000000" w:rsidR="00000000" w:rsidDel="00000000" w:rsidP="452B2DC6" w:rsidRDefault="00000000" w14:paraId="00000004" wp14:textId="7AB23768">
      <w:pPr>
        <w:pStyle w:val="Normal"/>
        <w:ind w:firstLine="720"/>
        <w:rPr>
          <w:rtl w:val="0"/>
        </w:rPr>
      </w:pPr>
      <w:r w:rsidR="452B2DC6">
        <w:rPr/>
        <w:t>These sessions are essential to give learners a sense of perspective on what one’s career journey might look like.</w:t>
      </w:r>
      <w:commentRangeStart w:id="64431036"/>
      <w:commentRangeStart w:id="1412148251"/>
      <w:r w:rsidRPr="452B2DC6" w:rsidR="452B2DC6">
        <w:rPr>
          <w:color w:val="auto"/>
        </w:rPr>
        <w:t xml:space="preserve"> </w:t>
      </w:r>
      <w:r w:rsidRPr="452B2DC6" w:rsidR="452B2DC6">
        <w:rPr>
          <w:color w:val="auto"/>
        </w:rPr>
        <w:t xml:space="preserve">Each of our guests guide our learners by sharing their own lived experiences and impart key advice on what worked best for them </w:t>
      </w:r>
      <w:r w:rsidR="452B2DC6">
        <w:rPr/>
        <w:t>—</w:t>
      </w:r>
      <w:r w:rsidRPr="452B2DC6" w:rsidR="452B2DC6">
        <w:rPr>
          <w:color w:val="auto"/>
        </w:rPr>
        <w:t xml:space="preserve"> showing directly what students can experiment with in their first positions as they begin their careers.</w:t>
      </w:r>
      <w:r w:rsidRPr="452B2DC6" w:rsidR="452B2DC6">
        <w:rPr>
          <w:color w:val="auto"/>
        </w:rPr>
        <w:t xml:space="preserve"> </w:t>
      </w:r>
      <w:commentRangeEnd w:id="64431036"/>
      <w:r>
        <w:rPr>
          <w:rStyle w:val="CommentReference"/>
        </w:rPr>
        <w:commentReference w:id="64431036"/>
      </w:r>
      <w:commentRangeEnd w:id="1412148251"/>
      <w:r>
        <w:rPr>
          <w:rStyle w:val="CommentReference"/>
        </w:rPr>
        <w:commentReference w:id="1412148251"/>
      </w:r>
    </w:p>
    <w:p xmlns:wp14="http://schemas.microsoft.com/office/word/2010/wordml" w:rsidRPr="00000000" w:rsidR="00000000" w:rsidDel="00000000" w:rsidP="00000000" w:rsidRDefault="00000000" w14:paraId="00000005" wp14:textId="513FC701">
      <w:pPr/>
      <w:r w:rsidRPr="00000000" w:rsidDel="00000000" w:rsidR="00000000">
        <w:rPr>
          <w:rtl w:val="0"/>
        </w:rPr>
        <w:tab/>
      </w:r>
      <w:r w:rsidRPr="00000000" w:rsidDel="00000000" w:rsidR="452B2DC6">
        <w:rPr/>
        <w:t xml:space="preserve">We want to extend our gratitude to </w:t>
      </w:r>
      <w:proofErr w:type="spellStart"/>
      <w:r w:rsidRPr="00000000" w:rsidDel="00000000" w:rsidR="452B2DC6">
        <w:rPr/>
        <w:t xml:space="preserve">Jehanzeb</w:t>
      </w:r>
      <w:proofErr w:type="spellEnd"/>
      <w:r w:rsidRPr="00000000" w:rsidDel="00000000" w:rsidR="452B2DC6">
        <w:rPr/>
        <w:t xml:space="preserve"> Khan and Rhys McCoy: the Head of Engineering and Vice President of Finance at First Circle, Jacinta Coyne: a Consultant for Sharp &amp; Carter, and Nigel Rimando: the Head of Data at </w:t>
      </w:r>
      <w:proofErr w:type="spellStart"/>
      <w:r w:rsidRPr="00000000" w:rsidDel="00000000" w:rsidR="452B2DC6">
        <w:rPr/>
        <w:t xml:space="preserve">BreederDAO</w:t>
      </w:r>
      <w:proofErr w:type="spellEnd"/>
      <w:r w:rsidRPr="00000000" w:rsidDel="00000000" w:rsidR="452B2DC6">
        <w:rPr/>
        <w:t xml:space="preserve">. We were so lucky to have each of you in to speak with our learners!</w:t>
      </w:r>
    </w:p>
    <w:p w:rsidR="452B2DC6" w:rsidP="452B2DC6" w:rsidRDefault="452B2DC6" w14:paraId="23251C71" w14:textId="7EBC72C1">
      <w:pPr>
        <w:pStyle w:val="Normal"/>
        <w:rPr>
          <w:rtl w:val="0"/>
        </w:rPr>
      </w:pPr>
      <w:r w:rsidRPr="452B2DC6" w:rsidR="452B2DC6">
        <w:rPr>
          <w:b w:val="1"/>
          <w:bCs w:val="1"/>
        </w:rPr>
        <w:t xml:space="preserve">(Note to Ivana: we want to add the logos of First Circle, Sharp and Carter, and </w:t>
      </w:r>
      <w:proofErr w:type="spellStart"/>
      <w:r w:rsidRPr="452B2DC6" w:rsidR="452B2DC6">
        <w:rPr>
          <w:b w:val="1"/>
          <w:bCs w:val="1"/>
        </w:rPr>
        <w:t>BreederDAO</w:t>
      </w:r>
      <w:proofErr w:type="spellEnd"/>
      <w:r w:rsidR="452B2DC6">
        <w:rPr/>
        <w:t>)</w:t>
      </w:r>
    </w:p>
    <w:p xmlns:wp14="http://schemas.microsoft.com/office/word/2010/wordml" w:rsidRPr="00000000" w:rsidR="00000000" w:rsidDel="00000000" w:rsidP="00000000" w:rsidRDefault="00000000" w14:paraId="00000006" wp14:textId="77777777">
      <w:pPr>
        <w:rPr/>
      </w:pPr>
      <w:r w:rsidRPr="00000000" w:rsidDel="00000000" w:rsidR="00000000">
        <w:rPr>
          <w:rtl w:val="0"/>
        </w:rPr>
      </w:r>
    </w:p>
    <w:p xmlns:wp14="http://schemas.microsoft.com/office/word/2010/wordml" w:rsidRPr="00000000" w:rsidR="00000000" w:rsidDel="00000000" w:rsidP="00000000" w:rsidRDefault="00000000" w14:paraId="00000007" wp14:textId="77777777">
      <w:pPr>
        <w:rPr/>
      </w:pPr>
      <w:r w:rsidRPr="00000000" w:rsidDel="00000000" w:rsidR="00000000">
        <w:rPr>
          <w:rtl w:val="0"/>
        </w:rPr>
      </w:r>
    </w:p>
    <w:p xmlns:wp14="http://schemas.microsoft.com/office/word/2010/wordml" w:rsidRPr="00000000" w:rsidR="00000000" w:rsidDel="00000000" w:rsidP="00000000" w:rsidRDefault="00000000" w14:paraId="00000008" wp14:textId="77777777">
      <w:pPr>
        <w:rPr/>
      </w:pPr>
      <w:r w:rsidRPr="00000000" w:rsidDel="00000000" w:rsidR="00000000">
        <w:rPr>
          <w:rtl w:val="0"/>
        </w:rPr>
      </w:r>
    </w:p>
    <w:p xmlns:wp14="http://schemas.microsoft.com/office/word/2010/wordml" w:rsidRPr="00000000" w:rsidR="00000000" w:rsidDel="00000000" w:rsidP="00000000" w:rsidRDefault="00000000" w14:paraId="00000009" wp14:textId="77777777">
      <w:pPr>
        <w:rPr/>
      </w:pPr>
      <w:r w:rsidRPr="00000000" w:rsidDel="00000000" w:rsidR="00000000">
        <w:rPr>
          <w:rtl w:val="0"/>
        </w:rPr>
        <w:t xml:space="preserve">Conference:</w:t>
      </w:r>
    </w:p>
    <w:p xmlns:wp14="http://schemas.microsoft.com/office/word/2010/wordml" w:rsidRPr="00000000" w:rsidR="00000000" w:rsidDel="00000000" w:rsidP="00000000" w:rsidRDefault="00000000" w14:paraId="0000000A" wp14:textId="77777777">
      <w:pPr>
        <w:rPr/>
      </w:pPr>
      <w:r w:rsidRPr="00000000" w:rsidDel="00000000" w:rsidR="00000000">
        <w:rPr>
          <w:rtl w:val="0"/>
        </w:rPr>
      </w:r>
    </w:p>
    <w:p xmlns:wp14="http://schemas.microsoft.com/office/word/2010/wordml" w:rsidRPr="00000000" w:rsidR="00000000" w:rsidDel="00000000" w:rsidP="00000000" w:rsidRDefault="00000000" w14:paraId="0000000B" wp14:textId="3B62A0D4">
      <w:pPr>
        <w:ind w:firstLine="720"/>
      </w:pPr>
      <w:r w:rsidR="452B2DC6">
        <w:rPr/>
        <w:t>On the 18th and 19</w:t>
      </w:r>
      <w:r w:rsidRPr="452B2DC6" w:rsidR="452B2DC6">
        <w:rPr>
          <w:vertAlign w:val="superscript"/>
        </w:rPr>
        <w:t>th</w:t>
      </w:r>
      <w:r w:rsidR="452B2DC6">
        <w:rPr/>
        <w:t xml:space="preserve"> May, we had the pleasure to participate at the </w:t>
      </w:r>
      <w:hyperlink r:id="Rae5c78ea814f4060">
        <w:r w:rsidRPr="452B2DC6" w:rsidR="452B2DC6">
          <w:rPr>
            <w:rStyle w:val="Hyperlink"/>
          </w:rPr>
          <w:t>Commonwealth Education Conference</w:t>
        </w:r>
      </w:hyperlink>
      <w:r w:rsidR="452B2DC6">
        <w:rPr/>
        <w:t xml:space="preserve"> in Birmingham and London </w:t>
      </w:r>
      <w:proofErr w:type="spellStart"/>
      <w:r w:rsidR="452B2DC6">
        <w:rPr/>
        <w:t>organised</w:t>
      </w:r>
      <w:proofErr w:type="spellEnd"/>
      <w:r w:rsidR="452B2DC6">
        <w:rPr/>
        <w:t xml:space="preserve"> by Bridge India. We participated in several panels and discussions surrounding the future of education in India, Australia, and the United Kingdom, and were lucky to hear from several influential figures in the field. Of the topics discussed, one rang quite clearly: digital intelligence and digital skills will dominate education — and employability — for the foreseeable future. Even in more traditional sectors such as art, digital skills are going to be key in the coming years. Luckily, it’s never too late to start building those qualities! Perhaps you could start by joining one of our online synchronous or asynchronous sessions? </w:t>
      </w:r>
    </w:p>
    <w:p xmlns:wp14="http://schemas.microsoft.com/office/word/2010/wordml" w:rsidRPr="00000000" w:rsidR="00000000" w:rsidDel="00000000" w:rsidP="00000000" w:rsidRDefault="00000000" w14:paraId="0000000C" wp14:textId="77777777">
      <w:pPr>
        <w:rPr/>
      </w:pPr>
      <w:r w:rsidRPr="00000000" w:rsidDel="00000000" w:rsidR="00000000">
        <w:rPr>
          <w:rtl w:val="0"/>
        </w:rPr>
      </w:r>
    </w:p>
    <w:p xmlns:wp14="http://schemas.microsoft.com/office/word/2010/wordml" w:rsidRPr="00000000" w:rsidR="00000000" w:rsidDel="00000000" w:rsidP="00000000" w:rsidRDefault="00000000" w14:paraId="0000000D" wp14:textId="77777777">
      <w:pPr>
        <w:rPr/>
      </w:pPr>
      <w:r w:rsidRPr="00000000" w:rsidDel="00000000" w:rsidR="00000000">
        <w:rPr>
          <w:rtl w:val="0"/>
        </w:rPr>
      </w:r>
    </w:p>
    <w:p xmlns:wp14="http://schemas.microsoft.com/office/word/2010/wordml" w:rsidRPr="00000000" w:rsidR="00000000" w:rsidDel="00000000" w:rsidP="00000000" w:rsidRDefault="00000000" w14:paraId="0000000E" wp14:textId="77777777">
      <w:pPr>
        <w:rPr/>
      </w:pPr>
      <w:r w:rsidRPr="00000000" w:rsidDel="00000000" w:rsidR="00000000">
        <w:rPr>
          <w:rtl w:val="0"/>
        </w:rPr>
      </w:r>
    </w:p>
    <w:p xmlns:wp14="http://schemas.microsoft.com/office/word/2010/wordml" w:rsidRPr="00000000" w:rsidR="00000000" w:rsidDel="00000000" w:rsidP="00000000" w:rsidRDefault="00000000" w14:paraId="0000000F" wp14:textId="77777777">
      <w:pPr>
        <w:rPr/>
      </w:pPr>
      <w:r w:rsidRPr="00000000" w:rsidDel="00000000" w:rsidR="00000000">
        <w:rPr>
          <w:rtl w:val="0"/>
        </w:rPr>
        <w:t xml:space="preserve">Melvin write-up: </w:t>
      </w:r>
    </w:p>
    <w:p xmlns:wp14="http://schemas.microsoft.com/office/word/2010/wordml" w:rsidRPr="00000000" w:rsidR="00000000" w:rsidDel="00000000" w:rsidP="00000000" w:rsidRDefault="00000000" w14:paraId="00000010" wp14:textId="77777777">
      <w:pPr>
        <w:spacing w:before="240" w:after="240" w:lineRule="auto"/>
        <w:rPr/>
      </w:pPr>
      <w:r w:rsidRPr="00000000" w:rsidDel="00000000" w:rsidR="00000000">
        <w:rPr>
          <w:rtl w:val="0"/>
        </w:rPr>
        <w:t xml:space="preserve">Have you ever landed yourself into a difficult dilemma or been torn between two choices? One of the choices is risky, but could potentially lead you to further greatness — while the other has a predictable outcome, and is something you are already highly familiar with.</w:t>
      </w:r>
    </w:p>
    <w:p xmlns:wp14="http://schemas.microsoft.com/office/word/2010/wordml" w:rsidRPr="00000000" w:rsidR="00000000" w:rsidDel="00000000" w:rsidP="00000000" w:rsidRDefault="00000000" w14:paraId="00000011" wp14:textId="77777777">
      <w:pPr>
        <w:spacing w:before="240" w:after="240" w:lineRule="auto"/>
        <w:rPr/>
      </w:pPr>
      <w:r w:rsidRPr="00000000" w:rsidDel="00000000" w:rsidR="00000000">
        <w:rPr>
          <w:rtl w:val="0"/>
        </w:rPr>
        <w:t xml:space="preserve">In every life stage, we all will come across situations like these. More often than not, we tend to take the easy choice and miss out on windows of opportunities that could potentially create leaps and bounds of progression or set us along the pathway to greatness.</w:t>
      </w:r>
    </w:p>
    <w:p xmlns:wp14="http://schemas.microsoft.com/office/word/2010/wordml" w:rsidRPr="00000000" w:rsidR="00000000" w:rsidDel="00000000" w:rsidP="00000000" w:rsidRDefault="00000000" w14:paraId="00000012" wp14:textId="0AA861B2">
      <w:pPr>
        <w:spacing w:before="240" w:after="240" w:lineRule="auto"/>
      </w:pPr>
      <w:r w:rsidR="452B2DC6">
        <w:rPr/>
        <w:t>We give ourselves excuses that we’re not good enough, or whatever deeply-rooted bad habits come to the top of our minds and sabotage our efforts.</w:t>
      </w:r>
    </w:p>
    <w:p xmlns:wp14="http://schemas.microsoft.com/office/word/2010/wordml" w:rsidRPr="00000000" w:rsidR="00000000" w:rsidDel="00000000" w:rsidP="00000000" w:rsidRDefault="00000000" w14:paraId="00000013" wp14:textId="62B187A7">
      <w:pPr>
        <w:spacing w:before="240" w:after="240" w:lineRule="auto"/>
      </w:pPr>
      <w:r w:rsidR="452B2DC6">
        <w:rPr/>
        <w:t xml:space="preserve">There is a famous Latin saying: “fortis </w:t>
      </w:r>
      <w:proofErr w:type="spellStart"/>
      <w:r w:rsidR="452B2DC6">
        <w:rPr/>
        <w:t>fortuna</w:t>
      </w:r>
      <w:proofErr w:type="spellEnd"/>
      <w:r w:rsidR="452B2DC6">
        <w:rPr/>
        <w:t xml:space="preserve"> </w:t>
      </w:r>
      <w:proofErr w:type="spellStart"/>
      <w:r w:rsidR="452B2DC6">
        <w:rPr/>
        <w:t>adiuvat</w:t>
      </w:r>
      <w:proofErr w:type="spellEnd"/>
      <w:r w:rsidR="452B2DC6">
        <w:rPr/>
        <w:t xml:space="preserve">” which translates literally into “fortune </w:t>
      </w:r>
      <w:proofErr w:type="spellStart"/>
      <w:r w:rsidR="452B2DC6">
        <w:rPr/>
        <w:t>favours</w:t>
      </w:r>
      <w:proofErr w:type="spellEnd"/>
      <w:r w:rsidR="452B2DC6">
        <w:rPr/>
        <w:t xml:space="preserve"> the bold”. If you ever get caught in this situation again, always remember that your fortune lies in your own hands. Start influencing your choice to further your greatness.</w:t>
      </w:r>
    </w:p>
    <w:p xmlns:wp14="http://schemas.microsoft.com/office/word/2010/wordml" w:rsidRPr="00000000" w:rsidR="00000000" w:rsidDel="00000000" w:rsidP="00000000" w:rsidRDefault="00000000" w14:paraId="00000014" wp14:textId="77777777">
      <w:pPr>
        <w:rPr/>
      </w:pPr>
      <w:r w:rsidRPr="00000000" w:rsidDel="00000000" w:rsidR="00000000">
        <w:rPr>
          <w:rtl w:val="0"/>
        </w:rPr>
      </w:r>
    </w:p>
    <w:p xmlns:wp14="http://schemas.microsoft.com/office/word/2010/wordml" w:rsidRPr="00000000" w:rsidR="00000000" w:rsidDel="00000000" w:rsidP="00000000" w:rsidRDefault="00000000" w14:paraId="00000015" wp14:textId="77777777">
      <w:pPr>
        <w:rPr/>
      </w:pPr>
      <w:r w:rsidRPr="00000000" w:rsidDel="00000000" w:rsidR="00000000">
        <w:rPr>
          <w:rtl w:val="0"/>
        </w:rPr>
      </w:r>
    </w:p>
    <w:p xmlns:wp14="http://schemas.microsoft.com/office/word/2010/wordml" w:rsidRPr="00000000" w:rsidR="00000000" w:rsidDel="00000000" w:rsidP="452B2DC6" w:rsidRDefault="00000000" w14:paraId="00000016" wp14:textId="745CB82F">
      <w:pPr>
        <w:rPr>
          <w:b w:val="1"/>
          <w:bCs w:val="1"/>
        </w:rPr>
      </w:pPr>
      <w:r w:rsidRPr="452B2DC6" w:rsidR="452B2DC6">
        <w:rPr>
          <w:b w:val="1"/>
          <w:bCs w:val="1"/>
        </w:rPr>
        <w:t xml:space="preserve">Update from our </w:t>
      </w:r>
      <w:proofErr w:type="spellStart"/>
      <w:r w:rsidRPr="452B2DC6" w:rsidR="452B2DC6">
        <w:rPr>
          <w:b w:val="1"/>
          <w:bCs w:val="1"/>
        </w:rPr>
        <w:t>Employabilty.life</w:t>
      </w:r>
      <w:proofErr w:type="spellEnd"/>
      <w:r w:rsidRPr="452B2DC6" w:rsidR="452B2DC6">
        <w:rPr>
          <w:b w:val="1"/>
          <w:bCs w:val="1"/>
        </w:rPr>
        <w:t xml:space="preserve"> Employer Engagement Coordinator, Tabinda Khan:</w:t>
      </w:r>
    </w:p>
    <w:p xmlns:wp14="http://schemas.microsoft.com/office/word/2010/wordml" w:rsidRPr="00000000" w:rsidR="00000000" w:rsidDel="00000000" w:rsidP="00000000" w:rsidRDefault="00000000" w14:paraId="00000017" wp14:textId="773E49DD">
      <w:pPr>
        <w:spacing w:before="240" w:after="240" w:lineRule="auto"/>
        <w:ind w:firstLine="720"/>
      </w:pPr>
      <w:r w:rsidR="452B2DC6">
        <w:rPr/>
        <w:t xml:space="preserve">Our </w:t>
      </w:r>
      <w:proofErr w:type="spellStart"/>
      <w:r w:rsidR="452B2DC6">
        <w:rPr/>
        <w:t>Employability.life</w:t>
      </w:r>
      <w:proofErr w:type="spellEnd"/>
      <w:r w:rsidR="452B2DC6">
        <w:rPr/>
        <w:t xml:space="preserve"> </w:t>
      </w:r>
      <w:proofErr w:type="spellStart"/>
      <w:r w:rsidR="452B2DC6">
        <w:rPr/>
        <w:t>Centres</w:t>
      </w:r>
      <w:proofErr w:type="spellEnd"/>
      <w:r w:rsidR="452B2DC6">
        <w:rPr/>
        <w:t xml:space="preserve"> are consistently running career and personal development sessions that are open to all learners. They are welcome to visit each Employability.life </w:t>
      </w:r>
      <w:proofErr w:type="spellStart"/>
      <w:r w:rsidR="452B2DC6">
        <w:rPr/>
        <w:t>centre</w:t>
      </w:r>
      <w:proofErr w:type="spellEnd"/>
      <w:r w:rsidR="452B2DC6">
        <w:rPr/>
        <w:t xml:space="preserve"> and talk to Employer Engagement Coordinators, who provide them with career counselling and advice pertaining to their job search. We offer resume and LinkedIn guidance, as well as support in our learners’ job seeking.</w:t>
      </w:r>
    </w:p>
    <w:p xmlns:wp14="http://schemas.microsoft.com/office/word/2010/wordml" w:rsidRPr="00000000" w:rsidR="00000000" w:rsidDel="00000000" w:rsidP="00000000" w:rsidRDefault="00000000" w14:paraId="00000018" wp14:textId="17DBD7C3">
      <w:pPr>
        <w:spacing w:before="240" w:after="240" w:lineRule="auto"/>
        <w:ind w:firstLine="720"/>
      </w:pPr>
      <w:r w:rsidR="452B2DC6">
        <w:rPr/>
        <w:t xml:space="preserve">In order to further facilitate our learners, job boards have been set up at each </w:t>
      </w:r>
      <w:proofErr w:type="spellStart"/>
      <w:r w:rsidR="452B2DC6">
        <w:rPr/>
        <w:t>Employability.life</w:t>
      </w:r>
      <w:proofErr w:type="spellEnd"/>
      <w:r w:rsidR="452B2DC6">
        <w:rPr/>
        <w:t xml:space="preserve"> centre. One of these is for professional jobs and internships, while the other one is for more casual part-time work. The job boards help learners by streamlining their job hunts and to build direct connections with employers. Our Student Ambassadors keep updating the job boards on a regular basis. Moreover, a team of students are currently working on an app, as a part of their project-based learning, to enable the job board as an online point of access for students to use. </w:t>
      </w:r>
    </w:p>
    <w:p xmlns:wp14="http://schemas.microsoft.com/office/word/2010/wordml" w:rsidRPr="00000000" w:rsidR="00000000" w:rsidDel="00000000" w:rsidP="00000000" w:rsidRDefault="00000000" w14:paraId="00000019" wp14:textId="77777777">
      <w:pPr>
        <w:spacing w:before="240" w:after="240" w:lineRule="auto"/>
        <w:ind w:firstLine="720"/>
        <w:rPr/>
      </w:pPr>
      <w:r w:rsidR="452B2DC6">
        <w:rPr/>
        <w:t xml:space="preserve">Our teams continue to keep communicating with ATMC students to spread awareness about our AEP and how it can benefit them in the long run. More and more students are enrolling, and we look forward to even more attendance and engagement from students in the upcoming semesters! </w:t>
      </w:r>
    </w:p>
    <w:p xmlns:wp14="http://schemas.microsoft.com/office/word/2010/wordml" w:rsidRPr="00000000" w:rsidR="00000000" w:rsidDel="00000000" w:rsidP="452B2DC6" w:rsidRDefault="00000000" w14:paraId="1008AC40" wp14:textId="04511C9C">
      <w:pPr>
        <w:pStyle w:val="Normal"/>
        <w:spacing w:before="240" w:after="240" w:lineRule="auto"/>
        <w:ind w:firstLine="0"/>
        <w:rPr>
          <w:rFonts w:ascii="Arial" w:hAnsi="Arial" w:eastAsia="Arial" w:cs="Arial"/>
          <w:b w:val="0"/>
          <w:bCs w:val="0"/>
          <w:i w:val="0"/>
          <w:iCs w:val="0"/>
          <w:caps w:val="0"/>
          <w:smallCaps w:val="0"/>
          <w:strike w:val="0"/>
          <w:dstrike w:val="0"/>
          <w:noProof w:val="0"/>
          <w:color w:val="242424"/>
          <w:sz w:val="22"/>
          <w:szCs w:val="22"/>
          <w:u w:val="none"/>
          <w:lang w:val="en"/>
        </w:rPr>
      </w:pPr>
    </w:p>
    <w:p xmlns:wp14="http://schemas.microsoft.com/office/word/2010/wordml" w:rsidRPr="00000000" w:rsidR="00000000" w:rsidDel="00000000" w:rsidP="452B2DC6" w:rsidRDefault="00000000" w14:paraId="1441B0F5" wp14:textId="7DCA9F46">
      <w:pPr>
        <w:pStyle w:val="Normal"/>
        <w:spacing w:before="240" w:after="240" w:lineRule="auto"/>
        <w:ind w:firstLine="0"/>
        <w:rPr>
          <w:rFonts w:ascii="Arial" w:hAnsi="Arial" w:eastAsia="Arial" w:cs="Arial"/>
          <w:b w:val="1"/>
          <w:bCs w:val="1"/>
          <w:i w:val="0"/>
          <w:iCs w:val="0"/>
          <w:caps w:val="0"/>
          <w:smallCaps w:val="0"/>
          <w:strike w:val="0"/>
          <w:dstrike w:val="0"/>
          <w:noProof w:val="0"/>
          <w:color w:val="242424"/>
          <w:sz w:val="22"/>
          <w:szCs w:val="22"/>
          <w:u w:val="none"/>
          <w:lang w:val="en"/>
        </w:rPr>
      </w:pPr>
      <w:r w:rsidRPr="452B2DC6" w:rsidR="452B2DC6">
        <w:rPr>
          <w:rFonts w:ascii="Arial" w:hAnsi="Arial" w:eastAsia="Arial" w:cs="Arial"/>
          <w:b w:val="1"/>
          <w:bCs w:val="1"/>
          <w:i w:val="0"/>
          <w:iCs w:val="0"/>
          <w:caps w:val="0"/>
          <w:smallCaps w:val="0"/>
          <w:strike w:val="0"/>
          <w:dstrike w:val="0"/>
          <w:noProof w:val="0"/>
          <w:color w:val="242424"/>
          <w:sz w:val="22"/>
          <w:szCs w:val="22"/>
          <w:u w:val="none"/>
          <w:lang w:val="en"/>
        </w:rPr>
        <w:t>EL is coming to India/CGC Visit:</w:t>
      </w:r>
    </w:p>
    <w:p xmlns:wp14="http://schemas.microsoft.com/office/word/2010/wordml" w:rsidRPr="00000000" w:rsidR="00000000" w:rsidDel="00000000" w:rsidP="452B2DC6" w:rsidRDefault="00000000" w14:paraId="00F4A8C5" wp14:textId="0B015EC3">
      <w:pPr>
        <w:pStyle w:val="Normal"/>
        <w:spacing w:before="240" w:after="240" w:lineRule="auto"/>
        <w:ind w:firstLine="0"/>
        <w:rPr>
          <w:rFonts w:ascii="Arial" w:hAnsi="Arial" w:eastAsia="Arial" w:cs="Arial"/>
          <w:caps w:val="0"/>
          <w:smallCaps w:val="0"/>
          <w:strike w:val="0"/>
          <w:dstrike w:val="0"/>
          <w:noProof w:val="0"/>
          <w:color w:val="242424"/>
          <w:sz w:val="22"/>
          <w:szCs w:val="22"/>
          <w:u w:val="none"/>
          <w:lang w:val="en"/>
        </w:rPr>
      </w:pPr>
      <w:proofErr w:type="spellStart"/>
      <w:r w:rsidRPr="452B2DC6" w:rsidR="452B2DC6">
        <w:rPr>
          <w:rFonts w:ascii="Arial" w:hAnsi="Arial" w:eastAsia="Arial" w:cs="Arial"/>
          <w:caps w:val="0"/>
          <w:smallCaps w:val="0"/>
          <w:strike w:val="0"/>
          <w:dstrike w:val="0"/>
          <w:noProof w:val="0"/>
          <w:color w:val="242424"/>
          <w:sz w:val="22"/>
          <w:szCs w:val="22"/>
          <w:u w:val="none"/>
          <w:lang w:val="en"/>
        </w:rPr>
        <w:t>Employability.life</w:t>
      </w:r>
      <w:proofErr w:type="spellEnd"/>
      <w:r w:rsidRPr="452B2DC6" w:rsidR="452B2DC6">
        <w:rPr>
          <w:rFonts w:ascii="Arial" w:hAnsi="Arial" w:eastAsia="Arial" w:cs="Arial"/>
          <w:caps w:val="0"/>
          <w:smallCaps w:val="0"/>
          <w:strike w:val="0"/>
          <w:dstrike w:val="0"/>
          <w:noProof w:val="0"/>
          <w:color w:val="242424"/>
          <w:sz w:val="22"/>
          <w:szCs w:val="22"/>
          <w:u w:val="none"/>
          <w:lang w:val="en"/>
        </w:rPr>
        <w:t xml:space="preserve"> is now in India!</w:t>
      </w:r>
      <w:r>
        <w:br/>
      </w:r>
      <w:r w:rsidRPr="452B2DC6" w:rsidR="452B2DC6">
        <w:rPr>
          <w:rFonts w:ascii="Arial" w:hAnsi="Arial" w:eastAsia="Arial" w:cs="Arial"/>
          <w:caps w:val="0"/>
          <w:smallCaps w:val="0"/>
          <w:strike w:val="0"/>
          <w:dstrike w:val="0"/>
          <w:noProof w:val="0"/>
          <w:color w:val="242424"/>
          <w:sz w:val="22"/>
          <w:szCs w:val="22"/>
          <w:u w:val="none"/>
          <w:lang w:val="en"/>
        </w:rPr>
        <w:t xml:space="preserve">We had the pleasure of hosting our colleagues from the City of Glasgow College. We toured our proposed Employability.life Centre in Gurugram and our India HQ in Delhi. To Jacqui Massie, Carla Gethin, and Ranjith Sankaranarayanan from the City of Glasgow College — thank you so much for coming out to visit us in India! We are looking forward to the formal </w:t>
      </w:r>
      <w:proofErr w:type="spellStart"/>
      <w:r w:rsidRPr="452B2DC6" w:rsidR="452B2DC6">
        <w:rPr>
          <w:rFonts w:ascii="Arial" w:hAnsi="Arial" w:eastAsia="Arial" w:cs="Arial"/>
          <w:caps w:val="0"/>
          <w:smallCaps w:val="0"/>
          <w:strike w:val="0"/>
          <w:dstrike w:val="0"/>
          <w:noProof w:val="0"/>
          <w:color w:val="242424"/>
          <w:sz w:val="22"/>
          <w:szCs w:val="22"/>
          <w:u w:val="none"/>
          <w:lang w:val="en"/>
        </w:rPr>
        <w:t>Employability.life</w:t>
      </w:r>
      <w:proofErr w:type="spellEnd"/>
      <w:r w:rsidRPr="452B2DC6" w:rsidR="452B2DC6">
        <w:rPr>
          <w:rFonts w:ascii="Arial" w:hAnsi="Arial" w:eastAsia="Arial" w:cs="Arial"/>
          <w:caps w:val="0"/>
          <w:smallCaps w:val="0"/>
          <w:strike w:val="0"/>
          <w:dstrike w:val="0"/>
          <w:noProof w:val="0"/>
          <w:color w:val="242424"/>
          <w:sz w:val="22"/>
          <w:szCs w:val="22"/>
          <w:u w:val="none"/>
          <w:lang w:val="en"/>
        </w:rPr>
        <w:t xml:space="preserve"> presentation and opening the </w:t>
      </w:r>
      <w:proofErr w:type="spellStart"/>
      <w:r w:rsidRPr="452B2DC6" w:rsidR="452B2DC6">
        <w:rPr>
          <w:rFonts w:ascii="Arial" w:hAnsi="Arial" w:eastAsia="Arial" w:cs="Arial"/>
          <w:caps w:val="0"/>
          <w:smallCaps w:val="0"/>
          <w:strike w:val="0"/>
          <w:dstrike w:val="0"/>
          <w:noProof w:val="0"/>
          <w:color w:val="242424"/>
          <w:sz w:val="22"/>
          <w:szCs w:val="22"/>
          <w:u w:val="none"/>
          <w:lang w:val="en"/>
        </w:rPr>
        <w:t>centre</w:t>
      </w:r>
      <w:proofErr w:type="spellEnd"/>
      <w:r w:rsidRPr="452B2DC6" w:rsidR="452B2DC6">
        <w:rPr>
          <w:rFonts w:ascii="Arial" w:hAnsi="Arial" w:eastAsia="Arial" w:cs="Arial"/>
          <w:caps w:val="0"/>
          <w:smallCaps w:val="0"/>
          <w:strike w:val="0"/>
          <w:dstrike w:val="0"/>
          <w:noProof w:val="0"/>
          <w:color w:val="242424"/>
          <w:sz w:val="22"/>
          <w:szCs w:val="22"/>
          <w:u w:val="none"/>
          <w:lang w:val="en"/>
        </w:rPr>
        <w:t xml:space="preserve"> in India soon.</w:t>
      </w:r>
    </w:p>
    <w:p xmlns:wp14="http://schemas.microsoft.com/office/word/2010/wordml" w:rsidRPr="00000000" w:rsidR="00000000" w:rsidDel="00000000" w:rsidP="452B2DC6" w:rsidRDefault="00000000" w14:paraId="5C56A2D0" wp14:textId="5FC01CEF">
      <w:pPr>
        <w:pStyle w:val="Normal"/>
        <w:spacing w:before="240" w:after="240" w:lineRule="auto"/>
        <w:ind w:firstLine="0"/>
        <w:rPr>
          <w:rFonts w:ascii="Arial" w:hAnsi="Arial" w:eastAsia="Arial" w:cs="Arial"/>
          <w:b w:val="0"/>
          <w:bCs w:val="0"/>
          <w:i w:val="0"/>
          <w:iCs w:val="0"/>
          <w:caps w:val="0"/>
          <w:smallCaps w:val="0"/>
          <w:strike w:val="0"/>
          <w:dstrike w:val="0"/>
          <w:noProof w:val="0"/>
          <w:color w:val="242424"/>
          <w:sz w:val="22"/>
          <w:szCs w:val="22"/>
          <w:u w:val="none"/>
          <w:lang w:val="en"/>
        </w:rPr>
      </w:pPr>
    </w:p>
    <w:p xmlns:wp14="http://schemas.microsoft.com/office/word/2010/wordml" w:rsidRPr="00000000" w:rsidR="00000000" w:rsidDel="00000000" w:rsidP="452B2DC6" w:rsidRDefault="00000000" w14:paraId="2817C900" wp14:textId="6BB8B7A4">
      <w:pPr>
        <w:pStyle w:val="Normal"/>
        <w:spacing w:before="240" w:after="240" w:lineRule="auto"/>
        <w:ind w:firstLine="0"/>
      </w:pPr>
      <w:r w:rsidR="452B2DC6">
        <w:rPr/>
        <w:t>Marketa and Nikhil:</w:t>
      </w:r>
    </w:p>
    <w:p xmlns:wp14="http://schemas.microsoft.com/office/word/2010/wordml" w:rsidRPr="00000000" w:rsidR="00000000" w:rsidDel="00000000" w:rsidP="452B2DC6" w:rsidRDefault="00000000" w14:paraId="3FB26819" wp14:textId="3C5BF94F">
      <w:pPr>
        <w:pStyle w:val="Normal"/>
        <w:spacing w:before="240" w:after="240" w:lineRule="auto"/>
        <w:ind w:firstLine="0"/>
      </w:pPr>
      <w:r w:rsidR="452B2DC6">
        <w:rPr/>
        <w:t xml:space="preserve">Our </w:t>
      </w:r>
      <w:proofErr w:type="spellStart"/>
      <w:r w:rsidR="452B2DC6">
        <w:rPr/>
        <w:t>Employability.life</w:t>
      </w:r>
      <w:proofErr w:type="spellEnd"/>
      <w:r w:rsidR="452B2DC6">
        <w:rPr/>
        <w:t xml:space="preserve"> Vice President Marketa </w:t>
      </w:r>
      <w:proofErr w:type="spellStart"/>
      <w:r w:rsidR="452B2DC6">
        <w:rPr/>
        <w:t>Mojzisova</w:t>
      </w:r>
      <w:proofErr w:type="spellEnd"/>
      <w:r w:rsidR="452B2DC6">
        <w:rPr/>
        <w:t xml:space="preserve"> has been in talks with Nikhil Arora, the Managing Director and Vice President of GoDaddy India, about a possible collaboration between </w:t>
      </w:r>
      <w:proofErr w:type="spellStart"/>
      <w:r w:rsidR="452B2DC6">
        <w:rPr/>
        <w:t>Employability.life</w:t>
      </w:r>
      <w:proofErr w:type="spellEnd"/>
      <w:r w:rsidR="452B2DC6">
        <w:rPr/>
        <w:t xml:space="preserve"> and GoDaddy.</w:t>
      </w:r>
    </w:p>
    <w:p w:rsidR="452B2DC6" w:rsidP="452B2DC6" w:rsidRDefault="452B2DC6" w14:paraId="2F763D03">
      <w:pPr>
        <w:pStyle w:val="Normal"/>
        <w:spacing w:before="240" w:after="240"/>
        <w:ind w:firstLine="0"/>
      </w:pPr>
    </w:p>
    <w:p xmlns:wp14="http://schemas.microsoft.com/office/word/2010/wordml" w:rsidRPr="00000000" w:rsidR="00000000" w:rsidDel="00000000" w:rsidP="00000000" w:rsidRDefault="00000000" w14:paraId="0000001B" wp14:textId="77777777">
      <w:pPr>
        <w:spacing w:before="240" w:after="240" w:lineRule="auto"/>
        <w:rPr>
          <w:b w:val="1"/>
          <w:color w:val="0f1111"/>
        </w:rPr>
      </w:pPr>
      <w:r w:rsidRPr="00000000" w:rsidDel="00000000" w:rsidR="00000000">
        <w:rPr>
          <w:rtl w:val="0"/>
        </w:rPr>
        <w:t xml:space="preserve">Book rec:</w:t>
      </w:r>
      <w:r w:rsidRPr="00000000" w:rsidDel="00000000" w:rsidR="00000000">
        <w:rPr>
          <w:rtl w:val="0"/>
        </w:rPr>
      </w:r>
    </w:p>
    <w:p xmlns:wp14="http://schemas.microsoft.com/office/word/2010/wordml" w:rsidRPr="00000000" w:rsidR="00000000" w:rsidDel="00000000" w:rsidP="00000000" w:rsidRDefault="00000000" w14:paraId="0000001C" wp14:textId="77777777">
      <w:pPr>
        <w:spacing w:before="240" w:after="240" w:lineRule="auto"/>
        <w:rPr>
          <w:b w:val="1"/>
          <w:sz w:val="20"/>
          <w:szCs w:val="20"/>
        </w:rPr>
      </w:pPr>
      <w:r w:rsidRPr="00000000" w:rsidDel="00000000" w:rsidR="00000000">
        <w:rPr>
          <w:b w:val="1"/>
          <w:color w:val="0f1111"/>
          <w:rtl w:val="0"/>
        </w:rPr>
        <w:t xml:space="preserve">Stolen Focus: Why you can’t pay Attention</w:t>
      </w:r>
      <w:r w:rsidRPr="00000000" w:rsidDel="00000000" w:rsidR="00000000">
        <w:rPr>
          <w:b w:val="1"/>
          <w:i w:val="1"/>
          <w:sz w:val="20"/>
          <w:szCs w:val="20"/>
          <w:rtl w:val="0"/>
        </w:rPr>
        <w:t xml:space="preserve">, </w:t>
      </w:r>
      <w:r w:rsidRPr="00000000" w:rsidDel="00000000" w:rsidR="00000000">
        <w:rPr>
          <w:b w:val="1"/>
          <w:sz w:val="20"/>
          <w:szCs w:val="20"/>
          <w:rtl w:val="0"/>
        </w:rPr>
        <w:t xml:space="preserve">by Johann Hari, published January 6th, 2022, from Bloomsbury Publishing</w:t>
      </w:r>
    </w:p>
    <w:p xmlns:wp14="http://schemas.microsoft.com/office/word/2010/wordml" w:rsidRPr="00000000" w:rsidR="00000000" w:rsidDel="00000000" w:rsidP="00000000" w:rsidRDefault="00000000" w14:paraId="0000001D" wp14:textId="77777777">
      <w:pPr>
        <w:spacing w:before="240" w:after="240" w:lineRule="auto"/>
        <w:rPr>
          <w:sz w:val="20"/>
          <w:szCs w:val="20"/>
        </w:rPr>
      </w:pPr>
      <w:r w:rsidRPr="00000000" w:rsidDel="00000000" w:rsidR="00000000">
        <w:rPr>
          <w:b w:val="1"/>
          <w:sz w:val="20"/>
          <w:szCs w:val="20"/>
          <w:rtl w:val="0"/>
        </w:rPr>
        <w:tab/>
      </w:r>
      <w:r w:rsidRPr="00000000" w:rsidDel="00000000" w:rsidR="00000000">
        <w:rPr>
          <w:sz w:val="20"/>
          <w:szCs w:val="20"/>
          <w:rtl w:val="0"/>
        </w:rPr>
        <w:t xml:space="preserve">Do you ever feel like you can’t pay attention as well as you used to? Does it feel like you’re unable to read as much as you used to, that you’re more drawn to your phone during your spare time?</w:t>
      </w:r>
    </w:p>
    <w:p xmlns:wp14="http://schemas.microsoft.com/office/word/2010/wordml" w:rsidRPr="00000000" w:rsidR="00000000" w:rsidDel="00000000" w:rsidP="00000000" w:rsidRDefault="00000000" w14:paraId="0000001E" wp14:textId="77777777">
      <w:pPr>
        <w:spacing w:before="240" w:after="240" w:lineRule="auto"/>
        <w:rPr>
          <w:sz w:val="20"/>
          <w:szCs w:val="20"/>
        </w:rPr>
      </w:pPr>
      <w:r w:rsidRPr="00000000" w:rsidDel="00000000" w:rsidR="00000000">
        <w:rPr>
          <w:sz w:val="20"/>
          <w:szCs w:val="20"/>
          <w:rtl w:val="0"/>
        </w:rPr>
        <w:tab/>
      </w:r>
      <w:r w:rsidRPr="00000000" w:rsidDel="00000000" w:rsidR="00000000">
        <w:rPr>
          <w:sz w:val="20"/>
          <w:szCs w:val="20"/>
          <w:rtl w:val="0"/>
        </w:rPr>
        <w:t xml:space="preserve">We’re often told that — and it often feels like — it is our own personal failing that we’re unable to focus, however, that might not entirely be the case. Johann Hari argues that, in fact, our attention was </w:t>
      </w:r>
      <w:r w:rsidRPr="00000000" w:rsidDel="00000000" w:rsidR="00000000">
        <w:rPr>
          <w:i w:val="1"/>
          <w:sz w:val="20"/>
          <w:szCs w:val="20"/>
          <w:rtl w:val="0"/>
        </w:rPr>
        <w:t xml:space="preserve">stolen from us</w:t>
      </w:r>
      <w:r w:rsidRPr="00000000" w:rsidDel="00000000" w:rsidR="00000000">
        <w:rPr>
          <w:sz w:val="20"/>
          <w:szCs w:val="20"/>
          <w:rtl w:val="0"/>
        </w:rPr>
        <w:t xml:space="preserve">. Through the rising frequency of short dopamine rushes from consuming tiny bits of content through the internet and social media, among other cases, Hari argues in </w:t>
      </w:r>
      <w:r w:rsidRPr="00000000" w:rsidDel="00000000" w:rsidR="00000000">
        <w:rPr>
          <w:i w:val="1"/>
          <w:sz w:val="20"/>
          <w:szCs w:val="20"/>
          <w:rtl w:val="0"/>
        </w:rPr>
        <w:t xml:space="preserve">Stolen Focus </w:t>
      </w:r>
      <w:r w:rsidRPr="00000000" w:rsidDel="00000000" w:rsidR="00000000">
        <w:rPr>
          <w:sz w:val="20"/>
          <w:szCs w:val="20"/>
          <w:rtl w:val="0"/>
        </w:rPr>
        <w:t xml:space="preserve">that our attention spans have been conditioned to lose focus after shorter and shorter periods of time. </w:t>
      </w:r>
    </w:p>
    <w:p xmlns:wp14="http://schemas.microsoft.com/office/word/2010/wordml" w:rsidRPr="00000000" w:rsidR="00000000" w:rsidDel="00000000" w:rsidP="00000000" w:rsidRDefault="00000000" w14:paraId="0000001F" wp14:textId="77777777">
      <w:pPr>
        <w:spacing w:before="240" w:after="240" w:lineRule="auto"/>
        <w:rPr>
          <w:sz w:val="20"/>
          <w:szCs w:val="20"/>
        </w:rPr>
      </w:pPr>
      <w:r w:rsidRPr="00000000" w:rsidDel="00000000" w:rsidR="00000000">
        <w:rPr>
          <w:sz w:val="20"/>
          <w:szCs w:val="20"/>
          <w:rtl w:val="0"/>
        </w:rPr>
        <w:tab/>
      </w:r>
      <w:r w:rsidRPr="00000000" w:rsidDel="00000000" w:rsidR="452B2DC6">
        <w:rPr>
          <w:sz w:val="20"/>
          <w:szCs w:val="20"/>
        </w:rPr>
        <w:t xml:space="preserve">Hari takes us on a 3-year journey, traveling across the world to find out ways we can steal back our focus. Hari directly challenges the way we have traditionally thought about our attention spans, and shows that it is possible to take back control. Here at Employability.life, one of the key skills in our Digital Intelligence course is how we can better pay attention and focus on what’s important. After all, by being able to pay attention and focus, we can achieve greater things in our personal and professional lives!</w:t>
      </w:r>
    </w:p>
    <w:p xmlns:wp14="http://schemas.microsoft.com/office/word/2010/wordml" w:rsidRPr="00000000" w:rsidR="00000000" w:rsidDel="00000000" w:rsidP="452B2DC6" w:rsidRDefault="00000000" w14:paraId="7E5B6AF0" wp14:textId="378B261A">
      <w:pPr>
        <w:pStyle w:val="Normal"/>
        <w:spacing w:before="240" w:after="240" w:lineRule="auto"/>
        <w:rPr>
          <w:sz w:val="20"/>
          <w:szCs w:val="20"/>
          <w:rtl w:val="0"/>
        </w:rPr>
      </w:pPr>
      <w:r w:rsidRPr="452B2DC6" w:rsidR="452B2DC6">
        <w:rPr>
          <w:sz w:val="20"/>
          <w:szCs w:val="20"/>
        </w:rPr>
        <w:t xml:space="preserve">What Hari is talking about isn’t a necessarily new concept either: authors such as Nicholas </w:t>
      </w:r>
      <w:proofErr w:type="spellStart"/>
      <w:r w:rsidRPr="452B2DC6" w:rsidR="452B2DC6">
        <w:rPr>
          <w:sz w:val="20"/>
          <w:szCs w:val="20"/>
        </w:rPr>
        <w:t>Carr</w:t>
      </w:r>
      <w:proofErr w:type="spellEnd"/>
      <w:r w:rsidRPr="452B2DC6" w:rsidR="452B2DC6">
        <w:rPr>
          <w:sz w:val="20"/>
          <w:szCs w:val="20"/>
        </w:rPr>
        <w:t xml:space="preserve"> have been writing about how the internet reshapes our minds and attentions as long as 14 years ago. You can read one of </w:t>
      </w:r>
      <w:proofErr w:type="spellStart"/>
      <w:r w:rsidRPr="452B2DC6" w:rsidR="452B2DC6">
        <w:rPr>
          <w:sz w:val="20"/>
          <w:szCs w:val="20"/>
        </w:rPr>
        <w:t>Carr’s</w:t>
      </w:r>
      <w:proofErr w:type="spellEnd"/>
      <w:r w:rsidRPr="452B2DC6" w:rsidR="452B2DC6">
        <w:rPr>
          <w:sz w:val="20"/>
          <w:szCs w:val="20"/>
        </w:rPr>
        <w:t xml:space="preserve"> pieces from</w:t>
      </w:r>
      <w:hyperlink r:id="R32a63fc31853484a">
        <w:r w:rsidRPr="452B2DC6" w:rsidR="452B2DC6">
          <w:rPr>
            <w:rStyle w:val="Hyperlink"/>
            <w:sz w:val="20"/>
            <w:szCs w:val="20"/>
          </w:rPr>
          <w:t xml:space="preserve"> </w:t>
        </w:r>
        <w:r w:rsidRPr="452B2DC6" w:rsidR="452B2DC6">
          <w:rPr>
            <w:rStyle w:val="Hyperlink"/>
            <w:i w:val="1"/>
            <w:iCs w:val="1"/>
            <w:sz w:val="20"/>
            <w:szCs w:val="20"/>
          </w:rPr>
          <w:t>The Atlantic,</w:t>
        </w:r>
      </w:hyperlink>
      <w:r w:rsidRPr="452B2DC6" w:rsidR="452B2DC6">
        <w:rPr>
          <w:sz w:val="20"/>
          <w:szCs w:val="20"/>
        </w:rPr>
        <w:t xml:space="preserve"> where he writes about how Google melds and reshapes our brains. Reading it today, it is shocking to see the similarities between his essay, Johann Hari’s </w:t>
      </w:r>
      <w:r w:rsidRPr="452B2DC6" w:rsidR="452B2DC6">
        <w:rPr>
          <w:i w:val="1"/>
          <w:iCs w:val="1"/>
          <w:sz w:val="20"/>
          <w:szCs w:val="20"/>
        </w:rPr>
        <w:t>Stolen Focus</w:t>
      </w:r>
      <w:r w:rsidRPr="452B2DC6" w:rsidR="452B2DC6">
        <w:rPr>
          <w:sz w:val="20"/>
          <w:szCs w:val="20"/>
        </w:rPr>
        <w:t xml:space="preserve">, and how practically everything both were writing about came true. </w:t>
      </w:r>
    </w:p>
    <w:p xmlns:wp14="http://schemas.microsoft.com/office/word/2010/wordml" w:rsidRPr="00000000" w:rsidR="00000000" w:rsidDel="00000000" w:rsidP="452B2DC6" w:rsidRDefault="00000000" w14:paraId="03A5822A" wp14:textId="63B4D1EE">
      <w:pPr>
        <w:pStyle w:val="Normal"/>
        <w:spacing w:before="240" w:after="240" w:lineRule="auto"/>
      </w:pPr>
    </w:p>
    <w:p w:rsidR="452B2DC6" w:rsidP="452B2DC6" w:rsidRDefault="452B2DC6" w14:paraId="5E275DC3">
      <w:pPr>
        <w:pStyle w:val="Normal"/>
        <w:spacing w:before="240" w:after="240"/>
      </w:pPr>
    </w:p>
    <w:p xmlns:wp14="http://schemas.microsoft.com/office/word/2010/wordml" w:rsidRPr="00000000" w:rsidR="00000000" w:rsidDel="00000000" w:rsidP="00000000" w:rsidRDefault="00000000" w14:paraId="00000021" wp14:textId="77777777">
      <w:pPr>
        <w:spacing w:before="240" w:after="240" w:lineRule="auto"/>
        <w:rPr/>
      </w:pPr>
      <w:r w:rsidRPr="00000000" w:rsidDel="00000000" w:rsidR="00000000">
        <w:rPr>
          <w:rtl w:val="0"/>
        </w:rPr>
        <w:t xml:space="preserve">Professional Year Profiles:</w:t>
      </w:r>
    </w:p>
    <w:p xmlns:wp14="http://schemas.microsoft.com/office/word/2010/wordml" w:rsidRPr="00000000" w:rsidR="00000000" w:rsidDel="00000000" w:rsidP="00000000" w:rsidRDefault="00000000" w14:paraId="00000022" wp14:textId="5C4D1520">
      <w:pPr>
        <w:spacing w:before="240" w:after="240" w:lineRule="auto"/>
      </w:pPr>
      <w:r w:rsidRPr="00000000" w:rsidDel="00000000" w:rsidR="00000000">
        <w:rPr>
          <w:rtl w:val="0"/>
        </w:rPr>
        <w:tab/>
      </w:r>
      <w:r w:rsidRPr="00000000" w:rsidDel="00000000" w:rsidR="452B2DC6">
        <w:rPr/>
        <w:t xml:space="preserve">We’re pleased to announce that Nihal Logan, one of our </w:t>
      </w:r>
      <w:r w:rsidRPr="00000000" w:rsidDel="00000000" w:rsidR="452B2DC6">
        <w:rPr/>
        <w:t xml:space="preserve">Professional</w:t>
      </w:r>
      <w:r w:rsidRPr="00000000" w:rsidDel="00000000" w:rsidR="452B2DC6">
        <w:rPr/>
        <w:t xml:space="preserve"> Year learners, has landed a permanent position as an IT Support Officer at the College of Professional Psychology in Sydney! This great news comes as a direct result from Nihal’s 12-week placement as an intern through Professional Year. We are always delighted to hear when our learners find success — we’re so happy for you, Nihal!</w:t>
      </w:r>
    </w:p>
    <w:p xmlns:wp14="http://schemas.microsoft.com/office/word/2010/wordml" w:rsidRPr="00000000" w:rsidR="00000000" w:rsidDel="00000000" w:rsidP="00000000" w:rsidRDefault="00000000" w14:paraId="00000023" wp14:textId="77777777">
      <w:pPr>
        <w:spacing w:before="240" w:after="240" w:lineRule="auto"/>
        <w:rPr/>
      </w:pPr>
      <w:r w:rsidRPr="00000000" w:rsidDel="00000000" w:rsidR="00000000">
        <w:rPr>
          <w:rtl w:val="0"/>
        </w:rPr>
      </w:r>
    </w:p>
    <w:p xmlns:wp14="http://schemas.microsoft.com/office/word/2010/wordml" w:rsidRPr="00000000" w:rsidR="00000000" w:rsidDel="00000000" w:rsidP="00000000" w:rsidRDefault="00000000" w14:paraId="00000024" wp14:textId="77777777">
      <w:pPr>
        <w:spacing w:before="240" w:after="240" w:lineRule="auto"/>
        <w:rPr/>
      </w:pPr>
      <w:r w:rsidRPr="00000000" w:rsidDel="00000000" w:rsidR="00000000">
        <w:rPr>
          <w:rtl w:val="0"/>
        </w:rPr>
        <w:tab/>
      </w:r>
      <w:r w:rsidRPr="00000000" w:rsidDel="00000000" w:rsidR="00000000">
        <w:rPr>
          <w:rtl w:val="0"/>
        </w:rPr>
        <w:t xml:space="preserve">We want to congratulate Gurmeet Singh, one of our former Professional Year students, for </w:t>
      </w:r>
      <w:r w:rsidRPr="00000000" w:rsidDel="00000000" w:rsidR="00000000">
        <w:rPr>
          <w:i w:val="1"/>
          <w:rtl w:val="0"/>
        </w:rPr>
        <w:t xml:space="preserve">211 MILLION</w:t>
      </w:r>
      <w:r w:rsidRPr="00000000" w:rsidDel="00000000" w:rsidR="00000000">
        <w:rPr>
          <w:rtl w:val="0"/>
        </w:rPr>
        <w:t xml:space="preserve"> views on Youtube on a video he’s worked on! Gurmeet was one of two cameramen working on an advertisement for Samsung India, and the video features a very touching narrative. This is such a great achievement! </w:t>
      </w:r>
    </w:p>
    <w:p xmlns:wp14="http://schemas.microsoft.com/office/word/2010/wordml" w:rsidRPr="00000000" w:rsidR="00000000" w:rsidDel="00000000" w:rsidP="00000000" w:rsidRDefault="00000000" w14:paraId="00000025" wp14:textId="77777777">
      <w:pPr>
        <w:spacing w:before="240" w:after="240" w:lineRule="auto"/>
        <w:rPr/>
      </w:pPr>
      <w:r w:rsidRPr="00000000" w:rsidDel="00000000" w:rsidR="00000000">
        <w:rPr>
          <w:rtl w:val="0"/>
        </w:rPr>
        <w:tab/>
      </w:r>
      <w:r w:rsidRPr="00000000" w:rsidDel="00000000" w:rsidR="00000000">
        <w:rPr>
          <w:rtl w:val="0"/>
        </w:rPr>
        <w:t xml:space="preserve">You can view the video here: </w:t>
      </w:r>
      <w:hyperlink r:id="rId6">
        <w:r w:rsidRPr="00000000" w:rsidDel="00000000" w:rsidR="00000000">
          <w:rPr>
            <w:color w:val="1155cc"/>
            <w:u w:val="single"/>
            <w:rtl w:val="0"/>
          </w:rPr>
          <w:t xml:space="preserve">https://www.youtube.com/watch?v=779KwjAYTeQ</w:t>
        </w:r>
      </w:hyperlink>
      <w:r w:rsidRPr="00000000" w:rsidDel="00000000" w:rsidR="00000000">
        <w:rPr>
          <w:rtl w:val="0"/>
        </w:rPr>
        <w:t xml:space="preserve"> </w:t>
      </w:r>
    </w:p>
    <w:p xmlns:wp14="http://schemas.microsoft.com/office/word/2010/wordml" w:rsidRPr="00000000" w:rsidR="00000000" w:rsidDel="00000000" w:rsidP="00000000" w:rsidRDefault="00000000" w14:paraId="00000026" wp14:textId="77777777">
      <w:pPr>
        <w:spacing w:before="240" w:after="240" w:lineRule="auto"/>
        <w:rPr/>
      </w:pPr>
      <w:r w:rsidRPr="00000000" w:rsidDel="00000000" w:rsidR="00000000">
        <w:rPr>
          <w:rtl w:val="0"/>
        </w:rPr>
      </w:r>
    </w:p>
    <w:p xmlns:wp14="http://schemas.microsoft.com/office/word/2010/wordml" w:rsidRPr="00000000" w:rsidR="00000000" w:rsidDel="00000000" w:rsidP="00000000" w:rsidRDefault="00000000" w14:paraId="00000027" wp14:textId="77777777">
      <w:pPr>
        <w:spacing w:before="240" w:after="240" w:lineRule="auto"/>
        <w:rPr/>
      </w:pPr>
      <w:r w:rsidRPr="00000000" w:rsidDel="00000000" w:rsidR="00000000">
        <w:rPr>
          <w:rtl w:val="0"/>
        </w:rPr>
      </w:r>
    </w:p>
    <w:p xmlns:wp14="http://schemas.microsoft.com/office/word/2010/wordml" w:rsidRPr="00000000" w:rsidR="00000000" w:rsidDel="00000000" w:rsidP="00000000" w:rsidRDefault="00000000" w14:paraId="00000028" wp14:textId="77777777">
      <w:pPr>
        <w:spacing w:before="240" w:after="240" w:lineRule="auto"/>
        <w:rPr/>
      </w:pPr>
      <w:r w:rsidRPr="00000000" w:rsidDel="00000000" w:rsidR="00000000">
        <w:rPr>
          <w:rtl w:val="0"/>
        </w:rPr>
      </w:r>
    </w:p>
    <w:p xmlns:wp14="http://schemas.microsoft.com/office/word/2010/wordml" w:rsidRPr="00000000" w:rsidR="00000000" w:rsidDel="00000000" w:rsidP="00000000" w:rsidRDefault="00000000" w14:paraId="00000029" wp14:textId="77777777">
      <w:pPr>
        <w:spacing w:before="240" w:after="240" w:lineRule="auto"/>
        <w:rPr/>
      </w:pPr>
      <w:r w:rsidRPr="00000000" w:rsidDel="00000000" w:rsidR="00000000">
        <w:rPr>
          <w:rtl w:val="0"/>
        </w:rPr>
        <w:tab/>
      </w:r>
    </w:p>
    <w:p xmlns:wp14="http://schemas.microsoft.com/office/word/2010/wordml" w:rsidRPr="00000000" w:rsidR="00000000" w:rsidDel="00000000" w:rsidP="00000000" w:rsidRDefault="00000000" w14:paraId="0000002A" wp14:textId="77777777">
      <w:pPr>
        <w:spacing w:before="240" w:after="240" w:lineRule="auto"/>
        <w:rPr/>
      </w:pPr>
      <w:r w:rsidRPr="00000000" w:rsidDel="00000000" w:rsidR="00000000">
        <w:rPr>
          <w:rtl w:val="0"/>
        </w:rPr>
      </w:r>
    </w:p>
    <w:p xmlns:wp14="http://schemas.microsoft.com/office/word/2010/wordml" w:rsidRPr="00000000" w:rsidR="00000000" w:rsidDel="00000000" w:rsidP="00000000" w:rsidRDefault="00000000" w14:paraId="0000002B" wp14:textId="77777777">
      <w:pPr>
        <w:rPr/>
      </w:pPr>
      <w:r w:rsidRPr="00000000" w:rsidDel="00000000" w:rsidR="00000000">
        <w:rPr>
          <w:rtl w:val="0"/>
        </w:rPr>
      </w:r>
    </w:p>
    <w:sectPr>
      <w:pgSz w:w="12240" w:h="15840" w:orient="portrait"/>
      <w:pgMar w:top="1440" w:right="1440" w:bottom="1440" w:left="1440" w:header="720" w:footer="720"/>
      <w:pgNumType w:start="1"/>
    </w:sectPr>
  </w:body>
</w:document>
</file>

<file path=word/comments.xml><?xml version="1.0" encoding="utf-8"?>
<w:comments xmlns:w14="http://schemas.microsoft.com/office/word/2010/wordml" xmlns:w="http://schemas.openxmlformats.org/wordprocessingml/2006/main">
  <w:comment w:initials="PA" w:author="Pradipti Acharya" w:date="2022-05-25T16:19:22" w:id="64431036">
    <w:p w:rsidR="452B2DC6" w:rsidRDefault="452B2DC6" w14:paraId="2306537D" w14:textId="3266AD20">
      <w:pPr>
        <w:pStyle w:val="CommentText"/>
      </w:pPr>
      <w:r w:rsidR="452B2DC6">
        <w:rPr/>
        <w:t>Can we rewrite this?</w:t>
      </w:r>
      <w:r>
        <w:rPr>
          <w:rStyle w:val="CommentReference"/>
        </w:rPr>
        <w:annotationRef/>
      </w:r>
    </w:p>
  </w:comment>
  <w:comment w:initials="LS" w:author="Lars Stannard" w:date="2022-05-26T09:43:24" w:id="1412148251">
    <w:p w:rsidR="452B2DC6" w:rsidRDefault="452B2DC6" w14:paraId="0A414D93" w14:textId="597D7888">
      <w:pPr>
        <w:pStyle w:val="CommentText"/>
      </w:pPr>
      <w:r w:rsidR="452B2DC6">
        <w:rPr/>
        <w:t>How's this?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2306537D"/>
  <w15:commentEx w15:done="0" w15:paraId="0A414D93" w15:paraIdParent="2306537D"/>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E8EE684" w16cex:dateUtc="2022-05-25T15:19:22.198Z"/>
  <w16cex:commentExtensible w16cex:durableId="172FBFDF" w16cex:dateUtc="2022-05-26T08:43:24.788Z"/>
</w16cex:commentsExtensible>
</file>

<file path=word/commentsIds.xml><?xml version="1.0" encoding="utf-8"?>
<w16cid:commentsIds xmlns:mc="http://schemas.openxmlformats.org/markup-compatibility/2006" xmlns:w16cid="http://schemas.microsoft.com/office/word/2016/wordml/cid" mc:Ignorable="w16cid">
  <w16cid:commentId w16cid:paraId="2306537D" w16cid:durableId="1E8EE684"/>
  <w16cid:commentId w16cid:paraId="0A414D93" w16cid:durableId="172FBFDF"/>
</w16cid:commentsId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people.xml><?xml version="1.0" encoding="utf-8"?>
<w15:people xmlns:mc="http://schemas.openxmlformats.org/markup-compatibility/2006" xmlns:w15="http://schemas.microsoft.com/office/word/2012/wordml" mc:Ignorable="w15">
  <w15:person w15:author="Pradipti Acharya">
    <w15:presenceInfo w15:providerId="AD" w15:userId="S::pradipti.acharya@atmc.edu.au::cdb76d1c-a827-45bf-a50e-513aabcf10c7"/>
  </w15:person>
  <w15:person w15:author="Lars Stannard">
    <w15:presenceInfo w15:providerId="AD" w15:userId="S::lars.stannard@atmc.edu.au::d4412f93-8e99-4d18-86a1-096e4835fa78"/>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44E712E3"/>
  <w15:docId w15:val="{25573BAF-69D1-4BDD-A83C-E2344AE2431A}"/>
  <w:rsids>
    <w:rsidRoot w:val="00000000"/>
    <w:rsid w:val="00000000"/>
    <w:rsid w:val="00CEB35D"/>
    <w:rsid w:val="01D2779F"/>
    <w:rsid w:val="0305D4AC"/>
    <w:rsid w:val="036E4800"/>
    <w:rsid w:val="05E9794F"/>
    <w:rsid w:val="096E3AF4"/>
    <w:rsid w:val="0AB5D1CD"/>
    <w:rsid w:val="0D33F779"/>
    <w:rsid w:val="0DB523EB"/>
    <w:rsid w:val="0F8942F0"/>
    <w:rsid w:val="10ECC4AD"/>
    <w:rsid w:val="1288950E"/>
    <w:rsid w:val="128D2BA3"/>
    <w:rsid w:val="15FAD6C1"/>
    <w:rsid w:val="1E0B83DF"/>
    <w:rsid w:val="1F326A77"/>
    <w:rsid w:val="206B2459"/>
    <w:rsid w:val="218C3EDD"/>
    <w:rsid w:val="255D1DBC"/>
    <w:rsid w:val="286611CE"/>
    <w:rsid w:val="291619B8"/>
    <w:rsid w:val="29ED2B87"/>
    <w:rsid w:val="2DE079F8"/>
    <w:rsid w:val="2E0AD199"/>
    <w:rsid w:val="3316384C"/>
    <w:rsid w:val="347A131D"/>
    <w:rsid w:val="364DD90E"/>
    <w:rsid w:val="398579D0"/>
    <w:rsid w:val="3B214D3F"/>
    <w:rsid w:val="3BA70D38"/>
    <w:rsid w:val="3BDAC547"/>
    <w:rsid w:val="3C7523B3"/>
    <w:rsid w:val="3C8E70F0"/>
    <w:rsid w:val="3CBD1A92"/>
    <w:rsid w:val="3CBD1DA0"/>
    <w:rsid w:val="3D9A44DE"/>
    <w:rsid w:val="3E20F563"/>
    <w:rsid w:val="3F14B856"/>
    <w:rsid w:val="3FC611B2"/>
    <w:rsid w:val="3FF4BB54"/>
    <w:rsid w:val="414D2B6B"/>
    <w:rsid w:val="41908BB5"/>
    <w:rsid w:val="42164EBC"/>
    <w:rsid w:val="452B2DC6"/>
    <w:rsid w:val="461C05F9"/>
    <w:rsid w:val="4799AB37"/>
    <w:rsid w:val="48DA67CF"/>
    <w:rsid w:val="50F724C5"/>
    <w:rsid w:val="53E2D299"/>
    <w:rsid w:val="53EE70D4"/>
    <w:rsid w:val="54E640D5"/>
    <w:rsid w:val="54E640D5"/>
    <w:rsid w:val="56F6955D"/>
    <w:rsid w:val="57EF34E7"/>
    <w:rsid w:val="5D93F4B2"/>
    <w:rsid w:val="629F5B65"/>
    <w:rsid w:val="659F0697"/>
    <w:rsid w:val="65D6FC27"/>
    <w:rsid w:val="66D99179"/>
    <w:rsid w:val="673AD6F8"/>
    <w:rsid w:val="67CE988C"/>
    <w:rsid w:val="6C179409"/>
    <w:rsid w:val="6E8260C5"/>
    <w:rsid w:val="6E9DDB6F"/>
    <w:rsid w:val="71444E70"/>
    <w:rsid w:val="72B57F2F"/>
    <w:rsid w:val="74157EB4"/>
    <w:rsid w:val="7727D116"/>
    <w:rsid w:val="7A5F71D8"/>
    <w:rsid w:val="7CA8E048"/>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fontTable" Target="fontTable.xml" Id="rId3" /><Relationship Type="http://schemas.openxmlformats.org/officeDocument/2006/relationships/customXml" Target="../customXml/item1.xml" Id="rId7" /><Relationship Type="http://schemas.openxmlformats.org/officeDocument/2006/relationships/settings" Target="settings.xml" Id="rId2" /><Relationship Type="http://schemas.openxmlformats.org/officeDocument/2006/relationships/theme" Target="theme/theme1.xml" Id="rId1" /><Relationship Type="http://schemas.openxmlformats.org/officeDocument/2006/relationships/hyperlink" Target="https://www.youtube.com/watch?v=779KwjAYTeQ" TargetMode="Externa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customXml" Target="../customXml/item3.xml" Id="rId9" /><Relationship Type="http://schemas.openxmlformats.org/officeDocument/2006/relationships/comments" Target="comments.xml" Id="R825cae7f8641478d" /><Relationship Type="http://schemas.microsoft.com/office/2011/relationships/people" Target="people.xml" Id="R5cab4f45d9ba43d8" /><Relationship Type="http://schemas.microsoft.com/office/2011/relationships/commentsExtended" Target="commentsExtended.xml" Id="R7413c44669f3477c" /><Relationship Type="http://schemas.microsoft.com/office/2016/09/relationships/commentsIds" Target="commentsIds.xml" Id="Ra775c8744c1a47e4" /><Relationship Type="http://schemas.microsoft.com/office/2018/08/relationships/commentsExtensible" Target="commentsExtensible.xml" Id="R189343b208d4436f" /><Relationship Type="http://schemas.openxmlformats.org/officeDocument/2006/relationships/hyperlink" Target="https://www.bridgeindia.org.uk/event/commonwealth-education-conference/" TargetMode="External" Id="Rae5c78ea814f4060" /><Relationship Type="http://schemas.openxmlformats.org/officeDocument/2006/relationships/hyperlink" Target="https://www.theatlantic.com/magazine/archive/2008/07/is-google-making-us-stupid/306868/" TargetMode="External" Id="R32a63fc31853484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9F9ED14D09F947B92051871C01EB21" ma:contentTypeVersion="16" ma:contentTypeDescription="Create a new document." ma:contentTypeScope="" ma:versionID="40dd54ff7648d8eabc28652b358c7b6c">
  <xsd:schema xmlns:xsd="http://www.w3.org/2001/XMLSchema" xmlns:xs="http://www.w3.org/2001/XMLSchema" xmlns:p="http://schemas.microsoft.com/office/2006/metadata/properties" xmlns:ns2="7806469f-3e76-4555-8025-d5d0c7557db8" xmlns:ns3="6f184452-f523-498b-8017-dfd53c7d78c3" targetNamespace="http://schemas.microsoft.com/office/2006/metadata/properties" ma:root="true" ma:fieldsID="5c51b38ef24fb848d5f65edbc172a5a6" ns2:_="" ns3:_="">
    <xsd:import namespace="7806469f-3e76-4555-8025-d5d0c7557db8"/>
    <xsd:import namespace="6f184452-f523-498b-8017-dfd53c7d78c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06469f-3e76-4555-8025-d5d0c7557d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14e2d26-6a15-4de5-b719-12bb197581c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f184452-f523-498b-8017-dfd53c7d78c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3f407fd-b885-4bb9-92f4-35c13a91a7d4}" ma:internalName="TaxCatchAll" ma:showField="CatchAllData" ma:web="6f184452-f523-498b-8017-dfd53c7d78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6f184452-f523-498b-8017-dfd53c7d78c3">
      <UserInfo>
        <DisplayName>Employability.Life</DisplayName>
        <AccountId>157</AccountId>
        <AccountType/>
      </UserInfo>
    </SharedWithUsers>
    <lcf76f155ced4ddcb4097134ff3c332f xmlns="7806469f-3e76-4555-8025-d5d0c7557db8">
      <Terms xmlns="http://schemas.microsoft.com/office/infopath/2007/PartnerControls"/>
    </lcf76f155ced4ddcb4097134ff3c332f>
    <TaxCatchAll xmlns="6f184452-f523-498b-8017-dfd53c7d78c3" xsi:nil="true"/>
  </documentManagement>
</p:properties>
</file>

<file path=customXml/itemProps1.xml><?xml version="1.0" encoding="utf-8"?>
<ds:datastoreItem xmlns:ds="http://schemas.openxmlformats.org/officeDocument/2006/customXml" ds:itemID="{9A73EFFC-95C9-4584-A6C2-8FD16973575E}"/>
</file>

<file path=customXml/itemProps2.xml><?xml version="1.0" encoding="utf-8"?>
<ds:datastoreItem xmlns:ds="http://schemas.openxmlformats.org/officeDocument/2006/customXml" ds:itemID="{25CA7884-C631-4F13-B36E-2C8425351678}"/>
</file>

<file path=customXml/itemProps3.xml><?xml version="1.0" encoding="utf-8"?>
<ds:datastoreItem xmlns:ds="http://schemas.openxmlformats.org/officeDocument/2006/customXml" ds:itemID="{C523C585-1985-4689-AFF0-B883495637FC}"/>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0x010100A19F9ED14D09F947B92051871C01EB21</vt:lpwstr>
  </property>
</Properties>
</file>