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600"/>
      </w:pPr>
    </w:p>
    <w:p>
      <w:pPr>
        <w:spacing w:after="60"/>
      </w:pPr>
      <w:r>
        <w:rPr>
          <w:rFonts w:ascii="Arial" w:cs="Arial" w:eastAsia="Arial" w:hAnsi="Arial"/>
          <w:color w:val="5A6774"/>
          <w:sz w:val="28"/>
          <w:szCs w:val="28"/>
        </w:rPr>
        <w:t xml:space="preserve">Multi-System Vessel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E05206"/>
          <w:sz w:val="72"/>
          <w:szCs w:val="72"/>
        </w:rPr>
        <w:t xml:space="preserve">MSV-11</w:t>
      </w:r>
    </w:p>
    <w:p>
      <w:pPr>
        <w:spacing w:after="100" w:before="60" w:line="276"/>
        <w:jc w:val="left"/>
      </w:pPr>
      <w:r>
        <w:rPr>
          <w:rFonts w:ascii="Arial" w:cs="Arial" w:eastAsia="Arial" w:hAnsi="Arial"/>
          <w:color w:val="5A6774"/>
          <w:sz w:val="22"/>
          <w:szCs w:val="22"/>
        </w:rPr>
        <w:t xml:space="preserve">Многофункциональная морская платформа с динамическим позиционированием DP1, рубкой на 3 человека и системой спуска погружного оборудования.</w:t>
      </w:r>
    </w:p>
    <w:p>
      <w:pPr>
        <w:spacing w:after="200" w:before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10"/>
        <w:gridCol w:w="2409"/>
        <w:gridCol w:w="2410"/>
      </w:tblGrid>
      <w:t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2202D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11 м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88BBDD"/>
                <w:sz w:val="16"/>
                <w:szCs w:val="16"/>
              </w:rPr>
              <w:t xml:space="preserve">ДЛИНА</w:t>
            </w:r>
          </w:p>
        </w:tc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2202D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3 чел.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88BBDD"/>
                <w:sz w:val="16"/>
                <w:szCs w:val="16"/>
              </w:rPr>
              <w:t xml:space="preserve">ЭКИПАЖ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2202D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DP1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88BBDD"/>
                <w:sz w:val="16"/>
                <w:szCs w:val="16"/>
              </w:rPr>
              <w:t xml:space="preserve">ПОЗИЦИОНИРОВАНИЕ</w:t>
            </w:r>
          </w:p>
        </w:tc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2202D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2×300 л/с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88BBDD"/>
                <w:sz w:val="16"/>
                <w:szCs w:val="16"/>
              </w:rPr>
              <w:t xml:space="preserve">ДВИГАТЕЛИ</w:t>
            </w:r>
          </w:p>
        </w:tc>
      </w:tr>
    </w:tbl>
    <w:p>
      <w:pPr>
        <w:spacing w:before="300"/>
      </w:pPr>
    </w:p>
    <w:p>
      <w:pPr>
        <w:jc w:val="center"/>
      </w:pPr>
      <w:r>
        <w:drawing>
          <wp:inline distT="0" distB="0" distL="0" distR="0">
            <wp:extent cx="4762500" cy="3619500"/>
            <wp:effectExtent t="0" r="0" b="0" l="0"/>
            <wp:docPr id="1" name="Вариант три четверти, спокойная вода.png" descr="Вариант три четверти, спокойная вода.png" title="Вариант три четверти, спокойная вод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0"/>
      </w:pPr>
    </w:p>
    <w:p>
      <w:r>
        <w:rPr>
          <w:rFonts w:ascii="Arial" w:cs="Arial" w:eastAsia="Arial" w:hAnsi="Arial"/>
          <w:color w:val="5A6774"/>
          <w:sz w:val="18"/>
          <w:szCs w:val="18"/>
        </w:rPr>
        <w:t xml:space="preserve">ГК «Лабораторный кластер» | labcluster.ru | 2026</w:t>
      </w:r>
    </w:p>
    <w:p>
      <w:r>
        <w:br w:type="pag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05206"/>
          <w:spacing w:val="80"/>
          <w:sz w:val="18"/>
          <w:szCs w:val="18"/>
        </w:rPr>
        <w:t xml:space="preserve">ЗАДАЧИ</w:t>
      </w:r>
    </w:p>
    <w:p>
      <w:pPr>
        <w:spacing w:after="200" w:before="60"/>
      </w:pPr>
      <w:r>
        <w:rPr>
          <w:rFonts w:ascii="Arial" w:cs="Arial" w:eastAsia="Arial" w:hAnsi="Arial"/>
          <w:b/>
          <w:bCs/>
          <w:color w:val="12202D"/>
          <w:sz w:val="40"/>
          <w:szCs w:val="40"/>
        </w:rPr>
        <w:t xml:space="preserve">Отбор проб с судна требует </w:t>
      </w:r>
      <w:r>
        <w:rPr>
          <w:rFonts w:ascii="Arial" w:cs="Arial" w:eastAsia="Arial" w:hAnsi="Arial"/>
          <w:b/>
          <w:bCs/>
          <w:color w:val="1B6FA8"/>
          <w:sz w:val="40"/>
          <w:szCs w:val="40"/>
        </w:rPr>
        <w:t xml:space="preserve">присутствия людей</w:t>
      </w:r>
      <w:r>
        <w:rPr>
          <w:rFonts w:ascii="Arial" w:cs="Arial" w:eastAsia="Arial" w:hAnsi="Arial"/>
          <w:b/>
          <w:bCs/>
          <w:color w:val="12202D"/>
          <w:sz w:val="40"/>
          <w:szCs w:val="40"/>
        </w:rPr>
        <w:t xml:space="preserve"> на борту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2202D"/>
          <w:sz w:val="24"/>
          <w:szCs w:val="24"/>
        </w:rPr>
        <w:t xml:space="preserve">Задачи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Arial" w:cs="Arial" w:eastAsia="Arial" w:hAnsi="Arial"/>
          <w:color w:val="5A6774"/>
          <w:sz w:val="22"/>
          <w:szCs w:val="22"/>
        </w:rPr>
        <w:t xml:space="preserve">Сложный пробоотбор — существующие методики и оборудование по пробоотбору воды, грунта, планктона требуют присутствия обученного персонала. Оборудование рассчитано на отбор только в одной точке.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Arial" w:cs="Arial" w:eastAsia="Arial" w:hAnsi="Arial"/>
          <w:color w:val="5A6774"/>
          <w:sz w:val="22"/>
          <w:szCs w:val="22"/>
        </w:rPr>
        <w:t xml:space="preserve">Точное позиционирование DP1 — удержание в точке с погрешностью 1–1,5 метра при силе ветра 4–5 баллов по шкале Бофорта.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Arial" w:cs="Arial" w:eastAsia="Arial" w:hAnsi="Arial"/>
          <w:color w:val="5A6774"/>
          <w:sz w:val="22"/>
          <w:szCs w:val="22"/>
        </w:rPr>
        <w:t xml:space="preserve">Работа с материнским судном — катамаран буксируется в район работ материнским судном с судовой лабораторией и возможностью размещения экипажа.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Arial" w:cs="Arial" w:eastAsia="Arial" w:hAnsi="Arial"/>
          <w:color w:val="5A6774"/>
          <w:sz w:val="22"/>
          <w:szCs w:val="22"/>
        </w:rPr>
        <w:t xml:space="preserve">Безопасность экипажа — катамаран отвечает всем правилам РМРС.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E05206"/>
          <w:sz w:val="24"/>
          <w:szCs w:val="24"/>
        </w:rPr>
        <w:t xml:space="preserve">Решение — MSV-11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Arial" w:cs="Arial" w:eastAsia="Arial" w:hAnsi="Arial"/>
          <w:color w:val="5A6774"/>
          <w:sz w:val="22"/>
          <w:szCs w:val="22"/>
        </w:rPr>
        <w:t xml:space="preserve">Ответ на пробоотбор: Рубка на три человека для отбора проб по программе ПЭК, а также для параллельного отбора автоматическими пробоотборниками.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Arial" w:cs="Arial" w:eastAsia="Arial" w:hAnsi="Arial"/>
          <w:color w:val="5A6774"/>
          <w:sz w:val="22"/>
          <w:szCs w:val="22"/>
        </w:rPr>
        <w:t xml:space="preserve">Ответ на позиционирование: Система DP не ниже DP1 позволит работать в зоне 500 м от платформы, обеспечивать работу ТНПА на глубинах до 350 м.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Arial" w:cs="Arial" w:eastAsia="Arial" w:hAnsi="Arial"/>
          <w:color w:val="5A6774"/>
          <w:sz w:val="22"/>
          <w:szCs w:val="22"/>
        </w:rPr>
        <w:t xml:space="preserve">Ответ на материнское судно: Разработаем проект буксировки, отвечающий требованиям регистра. Пробы обрабатываются в лаборатории материнского судна.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Arial" w:cs="Arial" w:eastAsia="Arial" w:hAnsi="Arial"/>
          <w:color w:val="5A6774"/>
          <w:sz w:val="22"/>
          <w:szCs w:val="22"/>
        </w:rPr>
        <w:t xml:space="preserve">Ответ на безопасность: Катамаран с экипажем отвечают требованиям производственной безопасности «ГПН».</w:t>
      </w:r>
    </w:p>
    <w:p>
      <w:pPr>
        <w:spacing w:before="200"/>
        <w:jc w:val="center"/>
      </w:pPr>
      <w:r>
        <w:drawing>
          <wp:inline distT="0" distB="0" distL="0" distR="0">
            <wp:extent cx="4381500" cy="2667000"/>
            <wp:effectExtent t="0" r="0" b="0" l="0"/>
            <wp:docPr id="1" name="В движении..png" descr="В движении..png" title="В движении.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05206"/>
          <w:spacing w:val="80"/>
          <w:sz w:val="18"/>
          <w:szCs w:val="18"/>
        </w:rPr>
        <w:t xml:space="preserve">ТЕХНИЧЕСКИЕ ХАРАКТЕРИСТИКИ</w:t>
      </w:r>
    </w:p>
    <w:p>
      <w:pPr>
        <w:spacing w:after="200" w:before="60"/>
      </w:pPr>
      <w:r>
        <w:rPr>
          <w:rFonts w:ascii="Arial" w:cs="Arial" w:eastAsia="Arial" w:hAnsi="Arial"/>
          <w:b/>
          <w:bCs/>
          <w:color w:val="12202D"/>
          <w:sz w:val="40"/>
          <w:szCs w:val="40"/>
        </w:rPr>
        <w:t xml:space="preserve">Ключевые </w:t>
      </w:r>
      <w:r>
        <w:rPr>
          <w:rFonts w:ascii="Arial" w:cs="Arial" w:eastAsia="Arial" w:hAnsi="Arial"/>
          <w:b/>
          <w:bCs/>
          <w:color w:val="1B6FA8"/>
          <w:sz w:val="40"/>
          <w:szCs w:val="40"/>
        </w:rPr>
        <w:t xml:space="preserve">ТТХ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838"/>
      </w:tblGrid>
      <w:tr>
        <w:tc>
          <w:tcPr>
            <w:tcW w:type="dxa" w:w="3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2202D"/>
                <w:sz w:val="20"/>
                <w:szCs w:val="20"/>
              </w:rPr>
              <w:t xml:space="preserve">Длина</w:t>
            </w:r>
          </w:p>
        </w:tc>
        <w:tc>
          <w:tcPr>
            <w:tcW w:type="dxa" w:w="58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5A6774"/>
                <w:sz w:val="20"/>
                <w:szCs w:val="20"/>
              </w:rPr>
              <w:t xml:space="preserve">11 м</w:t>
            </w:r>
          </w:p>
        </w:tc>
      </w:tr>
      <w:tr>
        <w:tc>
          <w:tcPr>
            <w:tcW w:type="dxa" w:w="3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2202D"/>
                <w:sz w:val="20"/>
                <w:szCs w:val="20"/>
              </w:rPr>
              <w:t xml:space="preserve">Ширина</w:t>
            </w:r>
          </w:p>
        </w:tc>
        <w:tc>
          <w:tcPr>
            <w:tcW w:type="dxa" w:w="58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5A6774"/>
                <w:sz w:val="20"/>
                <w:szCs w:val="20"/>
              </w:rPr>
              <w:t xml:space="preserve">~4,5 м</w:t>
            </w:r>
          </w:p>
        </w:tc>
      </w:tr>
      <w:tr>
        <w:tc>
          <w:tcPr>
            <w:tcW w:type="dxa" w:w="3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2202D"/>
                <w:sz w:val="20"/>
                <w:szCs w:val="20"/>
              </w:rPr>
              <w:t xml:space="preserve">Материал корпуса</w:t>
            </w:r>
          </w:p>
        </w:tc>
        <w:tc>
          <w:tcPr>
            <w:tcW w:type="dxa" w:w="58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5A6774"/>
                <w:sz w:val="20"/>
                <w:szCs w:val="20"/>
              </w:rPr>
              <w:t xml:space="preserve">Алюминий, заполнен пенопластом</w:t>
            </w:r>
          </w:p>
        </w:tc>
      </w:tr>
      <w:tr>
        <w:tc>
          <w:tcPr>
            <w:tcW w:type="dxa" w:w="3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2202D"/>
                <w:sz w:val="20"/>
                <w:szCs w:val="20"/>
              </w:rPr>
              <w:t xml:space="preserve">Водоизмещение</w:t>
            </w:r>
          </w:p>
        </w:tc>
        <w:tc>
          <w:tcPr>
            <w:tcW w:type="dxa" w:w="58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5A6774"/>
                <w:sz w:val="20"/>
                <w:szCs w:val="20"/>
              </w:rPr>
              <w:t xml:space="preserve">~5 т</w:t>
            </w:r>
          </w:p>
        </w:tc>
      </w:tr>
      <w:tr>
        <w:tc>
          <w:tcPr>
            <w:tcW w:type="dxa" w:w="3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2202D"/>
                <w:sz w:val="20"/>
                <w:szCs w:val="20"/>
              </w:rPr>
              <w:t xml:space="preserve">Рубка</w:t>
            </w:r>
          </w:p>
        </w:tc>
        <w:tc>
          <w:tcPr>
            <w:tcW w:type="dxa" w:w="58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5A6774"/>
                <w:sz w:val="20"/>
                <w:szCs w:val="20"/>
              </w:rPr>
              <w:t xml:space="preserve">3 чел. (капитан, оператор ТНПА, пробоотборщик)</w:t>
            </w:r>
          </w:p>
        </w:tc>
      </w:tr>
      <w:tr>
        <w:tc>
          <w:tcPr>
            <w:tcW w:type="dxa" w:w="3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2202D"/>
                <w:sz w:val="20"/>
                <w:szCs w:val="20"/>
              </w:rPr>
              <w:t xml:space="preserve">Двигатели</w:t>
            </w:r>
          </w:p>
        </w:tc>
        <w:tc>
          <w:tcPr>
            <w:tcW w:type="dxa" w:w="58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5A6774"/>
                <w:sz w:val="20"/>
                <w:szCs w:val="20"/>
              </w:rPr>
              <w:t xml:space="preserve">2 подвесных × 300 л/с</w:t>
            </w:r>
          </w:p>
        </w:tc>
      </w:tr>
      <w:tr>
        <w:tc>
          <w:tcPr>
            <w:tcW w:type="dxa" w:w="3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2202D"/>
                <w:sz w:val="20"/>
                <w:szCs w:val="20"/>
              </w:rPr>
              <w:t xml:space="preserve">Подрульки</w:t>
            </w:r>
          </w:p>
        </w:tc>
        <w:tc>
          <w:tcPr>
            <w:tcW w:type="dxa" w:w="58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5A6774"/>
                <w:sz w:val="20"/>
                <w:szCs w:val="20"/>
              </w:rPr>
              <w:t xml:space="preserve">2 шт.</w:t>
            </w:r>
          </w:p>
        </w:tc>
      </w:tr>
      <w:tr>
        <w:tc>
          <w:tcPr>
            <w:tcW w:type="dxa" w:w="3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2202D"/>
                <w:sz w:val="20"/>
                <w:szCs w:val="20"/>
              </w:rPr>
              <w:t xml:space="preserve">Система DP</w:t>
            </w:r>
          </w:p>
        </w:tc>
        <w:tc>
          <w:tcPr>
            <w:tcW w:type="dxa" w:w="58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5A6774"/>
                <w:sz w:val="20"/>
                <w:szCs w:val="20"/>
              </w:rPr>
              <w:t xml:space="preserve">DP1</w:t>
            </w:r>
          </w:p>
        </w:tc>
      </w:tr>
      <w:tr>
        <w:tc>
          <w:tcPr>
            <w:tcW w:type="dxa" w:w="3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2202D"/>
                <w:sz w:val="20"/>
                <w:szCs w:val="20"/>
              </w:rPr>
              <w:t xml:space="preserve">АИС</w:t>
            </w:r>
          </w:p>
        </w:tc>
        <w:tc>
          <w:tcPr>
            <w:tcW w:type="dxa" w:w="58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5A6774"/>
                <w:sz w:val="20"/>
                <w:szCs w:val="20"/>
              </w:rPr>
              <w:t xml:space="preserve">Класс А</w:t>
            </w:r>
          </w:p>
        </w:tc>
      </w:tr>
      <w:tr>
        <w:tc>
          <w:tcPr>
            <w:tcW w:type="dxa" w:w="3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2202D"/>
                <w:sz w:val="20"/>
                <w:szCs w:val="20"/>
              </w:rPr>
              <w:t xml:space="preserve">Радиостанции</w:t>
            </w:r>
          </w:p>
        </w:tc>
        <w:tc>
          <w:tcPr>
            <w:tcW w:type="dxa" w:w="58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5A6774"/>
                <w:sz w:val="20"/>
                <w:szCs w:val="20"/>
              </w:rPr>
              <w:t xml:space="preserve">УКВ, ПВ/КВ</w:t>
            </w:r>
          </w:p>
        </w:tc>
      </w:tr>
      <w:tr>
        <w:tc>
          <w:tcPr>
            <w:tcW w:type="dxa" w:w="3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2202D"/>
                <w:sz w:val="20"/>
                <w:szCs w:val="20"/>
              </w:rPr>
              <w:t xml:space="preserve">Эхолот</w:t>
            </w:r>
          </w:p>
        </w:tc>
        <w:tc>
          <w:tcPr>
            <w:tcW w:type="dxa" w:w="58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5A6774"/>
                <w:sz w:val="20"/>
                <w:szCs w:val="20"/>
              </w:rPr>
              <w:t xml:space="preserve">Навигационный + многолучевой (опц.)</w:t>
            </w:r>
          </w:p>
        </w:tc>
      </w:tr>
      <w:tr>
        <w:tc>
          <w:tcPr>
            <w:tcW w:type="dxa" w:w="3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2202D"/>
                <w:sz w:val="20"/>
                <w:szCs w:val="20"/>
              </w:rPr>
              <w:t xml:space="preserve">Метеостанция</w:t>
            </w:r>
          </w:p>
        </w:tc>
        <w:tc>
          <w:tcPr>
            <w:tcW w:type="dxa" w:w="58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5A6774"/>
                <w:sz w:val="20"/>
                <w:szCs w:val="20"/>
              </w:rPr>
              <w:t xml:space="preserve">Бортовая</w:t>
            </w:r>
          </w:p>
        </w:tc>
      </w:tr>
      <w:tr>
        <w:tc>
          <w:tcPr>
            <w:tcW w:type="dxa" w:w="3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2202D"/>
                <w:sz w:val="20"/>
                <w:szCs w:val="20"/>
              </w:rPr>
              <w:t xml:space="preserve">Радар</w:t>
            </w:r>
          </w:p>
        </w:tc>
        <w:tc>
          <w:tcPr>
            <w:tcW w:type="dxa" w:w="58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5A6774"/>
                <w:sz w:val="20"/>
                <w:szCs w:val="20"/>
              </w:rPr>
              <w:t xml:space="preserve">Навигационный</w:t>
            </w:r>
          </w:p>
        </w:tc>
      </w:tr>
      <w:tr>
        <w:tc>
          <w:tcPr>
            <w:tcW w:type="dxa" w:w="3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2202D"/>
                <w:sz w:val="20"/>
                <w:szCs w:val="20"/>
              </w:rPr>
              <w:t xml:space="preserve">Якорное устройство</w:t>
            </w:r>
          </w:p>
        </w:tc>
        <w:tc>
          <w:tcPr>
            <w:tcW w:type="dxa" w:w="58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5A6774"/>
                <w:sz w:val="20"/>
                <w:szCs w:val="20"/>
              </w:rPr>
              <w:t xml:space="preserve">Есть</w:t>
            </w:r>
          </w:p>
        </w:tc>
      </w:tr>
      <w:tr>
        <w:tc>
          <w:tcPr>
            <w:tcW w:type="dxa" w:w="3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2202D"/>
                <w:sz w:val="20"/>
                <w:szCs w:val="20"/>
              </w:rPr>
              <w:t xml:space="preserve">П-образная мачта</w:t>
            </w:r>
          </w:p>
        </w:tc>
        <w:tc>
          <w:tcPr>
            <w:tcW w:type="dxa" w:w="58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5A6774"/>
                <w:sz w:val="20"/>
                <w:szCs w:val="20"/>
              </w:rPr>
              <w:t xml:space="preserve">Наклонная, для спуска оборудования</w:t>
            </w:r>
          </w:p>
        </w:tc>
      </w:tr>
      <w:tr>
        <w:tc>
          <w:tcPr>
            <w:tcW w:type="dxa" w:w="3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2202D"/>
                <w:sz w:val="20"/>
                <w:szCs w:val="20"/>
              </w:rPr>
              <w:t xml:space="preserve">Ходовые огни</w:t>
            </w:r>
          </w:p>
        </w:tc>
        <w:tc>
          <w:tcPr>
            <w:tcW w:type="dxa" w:w="58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5A6774"/>
                <w:sz w:val="20"/>
                <w:szCs w:val="20"/>
              </w:rPr>
              <w:t xml:space="preserve">По правилам МППСС</w:t>
            </w:r>
          </w:p>
        </w:tc>
      </w:tr>
      <w:tr>
        <w:tc>
          <w:tcPr>
            <w:tcW w:type="dxa" w:w="3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2202D"/>
                <w:sz w:val="20"/>
                <w:szCs w:val="20"/>
              </w:rPr>
              <w:t xml:space="preserve">Спасательный плот</w:t>
            </w:r>
          </w:p>
        </w:tc>
        <w:tc>
          <w:tcPr>
            <w:tcW w:type="dxa" w:w="58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5A6774"/>
                <w:sz w:val="20"/>
                <w:szCs w:val="20"/>
              </w:rPr>
              <w:t xml:space="preserve">Надувной в контейнере</w:t>
            </w:r>
          </w:p>
        </w:tc>
      </w:tr>
      <w:tr>
        <w:tc>
          <w:tcPr>
            <w:tcW w:type="dxa" w:w="3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2202D"/>
                <w:sz w:val="20"/>
                <w:szCs w:val="20"/>
              </w:rPr>
              <w:t xml:space="preserve">Спасательные круги</w:t>
            </w:r>
          </w:p>
        </w:tc>
        <w:tc>
          <w:tcPr>
            <w:tcW w:type="dxa" w:w="58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5A6774"/>
                <w:sz w:val="20"/>
                <w:szCs w:val="20"/>
              </w:rPr>
              <w:t xml:space="preserve">По нормам РМРС</w:t>
            </w:r>
          </w:p>
        </w:tc>
      </w:tr>
      <w:tr>
        <w:tc>
          <w:tcPr>
            <w:tcW w:type="dxa" w:w="3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2202D"/>
                <w:sz w:val="20"/>
                <w:szCs w:val="20"/>
              </w:rPr>
              <w:t xml:space="preserve">Генератор</w:t>
            </w:r>
          </w:p>
        </w:tc>
        <w:tc>
          <w:tcPr>
            <w:tcW w:type="dxa" w:w="58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5A6774"/>
                <w:sz w:val="20"/>
                <w:szCs w:val="20"/>
              </w:rPr>
              <w:t xml:space="preserve">Дизель-генератор</w:t>
            </w:r>
          </w:p>
        </w:tc>
      </w:tr>
      <w:tr>
        <w:tc>
          <w:tcPr>
            <w:tcW w:type="dxa" w:w="3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2202D"/>
                <w:sz w:val="20"/>
                <w:szCs w:val="20"/>
              </w:rPr>
              <w:t xml:space="preserve">Лебёдки</w:t>
            </w:r>
          </w:p>
        </w:tc>
        <w:tc>
          <w:tcPr>
            <w:tcW w:type="dxa" w:w="58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5A6774"/>
                <w:sz w:val="20"/>
                <w:szCs w:val="20"/>
              </w:rPr>
              <w:t xml:space="preserve">2 шт.</w:t>
            </w:r>
          </w:p>
        </w:tc>
      </w:tr>
      <w:tr>
        <w:tc>
          <w:tcPr>
            <w:tcW w:type="dxa" w:w="3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2202D"/>
                <w:sz w:val="20"/>
                <w:szCs w:val="20"/>
              </w:rPr>
              <w:t xml:space="preserve">Манипулятор</w:t>
            </w:r>
          </w:p>
        </w:tc>
        <w:tc>
          <w:tcPr>
            <w:tcW w:type="dxa" w:w="58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5A6774"/>
                <w:sz w:val="20"/>
                <w:szCs w:val="20"/>
              </w:rPr>
              <w:t xml:space="preserve">Опционально</w:t>
            </w:r>
          </w:p>
        </w:tc>
      </w:tr>
      <w:tr>
        <w:tc>
          <w:tcPr>
            <w:tcW w:type="dxa" w:w="3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2202D"/>
                <w:sz w:val="20"/>
                <w:szCs w:val="20"/>
              </w:rPr>
              <w:t xml:space="preserve">Спутниковая связь</w:t>
            </w:r>
          </w:p>
        </w:tc>
        <w:tc>
          <w:tcPr>
            <w:tcW w:type="dxa" w:w="58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5A6774"/>
                <w:sz w:val="20"/>
                <w:szCs w:val="20"/>
              </w:rPr>
              <w:t xml:space="preserve">Опционально</w:t>
            </w:r>
          </w:p>
        </w:tc>
      </w:tr>
      <w:tr>
        <w:tc>
          <w:tcPr>
            <w:tcW w:type="dxa" w:w="3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2202D"/>
                <w:sz w:val="20"/>
                <w:szCs w:val="20"/>
              </w:rPr>
              <w:t xml:space="preserve">Подводная навигация</w:t>
            </w:r>
          </w:p>
        </w:tc>
        <w:tc>
          <w:tcPr>
            <w:tcW w:type="dxa" w:w="58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5A6774"/>
                <w:sz w:val="20"/>
                <w:szCs w:val="20"/>
              </w:rPr>
              <w:t xml:space="preserve">USBL — опционально</w:t>
            </w:r>
          </w:p>
        </w:tc>
      </w:tr>
    </w:tbl>
    <w:p>
      <w:r>
        <w:br w:type="pag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05206"/>
          <w:spacing w:val="80"/>
          <w:sz w:val="18"/>
          <w:szCs w:val="18"/>
        </w:rPr>
        <w:t xml:space="preserve">ПРЕИМУЩЕСТВА</w:t>
      </w:r>
    </w:p>
    <w:p>
      <w:pPr>
        <w:spacing w:after="200" w:before="60"/>
      </w:pPr>
      <w:r>
        <w:rPr>
          <w:rFonts w:ascii="Arial" w:cs="Arial" w:eastAsia="Arial" w:hAnsi="Arial"/>
          <w:b/>
          <w:bCs/>
          <w:color w:val="12202D"/>
          <w:sz w:val="40"/>
          <w:szCs w:val="40"/>
        </w:rPr>
        <w:t xml:space="preserve">Почему </w:t>
      </w:r>
      <w:r>
        <w:rPr>
          <w:rFonts w:ascii="Arial" w:cs="Arial" w:eastAsia="Arial" w:hAnsi="Arial"/>
          <w:b/>
          <w:bCs/>
          <w:color w:val="E05206"/>
          <w:sz w:val="40"/>
          <w:szCs w:val="40"/>
        </w:rPr>
        <w:t xml:space="preserve">MSV-11</w:t>
      </w:r>
      <w:r>
        <w:rPr>
          <w:rFonts w:ascii="Arial" w:cs="Arial" w:eastAsia="Arial" w:hAnsi="Arial"/>
          <w:b/>
          <w:bCs/>
          <w:color w:val="12202D"/>
          <w:sz w:val="40"/>
          <w:szCs w:val="40"/>
        </w:rPr>
        <w:t xml:space="preserve"> отличается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12202D"/>
          <w:sz w:val="26"/>
          <w:szCs w:val="26"/>
        </w:rPr>
        <w:t xml:space="preserve">Экономия</w:t>
      </w:r>
    </w:p>
    <w:p>
      <w:pPr>
        <w:spacing w:after="100" w:before="60" w:line="276"/>
        <w:jc w:val="left"/>
      </w:pPr>
      <w:r>
        <w:rPr>
          <w:rFonts w:ascii="Arial" w:cs="Arial" w:eastAsia="Arial" w:hAnsi="Arial"/>
          <w:color w:val="5A6774"/>
          <w:sz w:val="22"/>
          <w:szCs w:val="22"/>
        </w:rPr>
        <w:t xml:space="preserve">Катамаран в связке с материнским судном позволяет обеспечивать весь комплекс работ, ранее требовавший привлечения дорогостоящего судна с системой динамического позиционирования.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12202D"/>
          <w:sz w:val="26"/>
          <w:szCs w:val="26"/>
        </w:rPr>
        <w:t xml:space="preserve">Уникальная научная платформа</w:t>
      </w:r>
    </w:p>
    <w:p>
      <w:pPr>
        <w:spacing w:after="100" w:before="60" w:line="276"/>
        <w:jc w:val="left"/>
      </w:pPr>
      <w:r>
        <w:rPr>
          <w:rFonts w:ascii="Arial" w:cs="Arial" w:eastAsia="Arial" w:hAnsi="Arial"/>
          <w:color w:val="5A6774"/>
          <w:sz w:val="22"/>
          <w:szCs w:val="22"/>
        </w:rPr>
        <w:t xml:space="preserve">Многофункциональность катамарана позволяет увеличивать количество исследований под конкретную задачу. Например, точное попадание грунтовой трубки в зону разгрузки углеводородного флюида.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12202D"/>
          <w:sz w:val="26"/>
          <w:szCs w:val="26"/>
        </w:rPr>
        <w:t xml:space="preserve">Аналогов нет</w:t>
      </w:r>
    </w:p>
    <w:p>
      <w:pPr>
        <w:spacing w:after="100" w:before="60" w:line="276"/>
        <w:jc w:val="left"/>
      </w:pPr>
      <w:r>
        <w:rPr>
          <w:rFonts w:ascii="Arial" w:cs="Arial" w:eastAsia="Arial" w:hAnsi="Arial"/>
          <w:color w:val="5A6774"/>
          <w:sz w:val="22"/>
          <w:szCs w:val="22"/>
        </w:rPr>
        <w:t xml:space="preserve">Опыт строительства маломерного судна с DP1, разработка автоматических систем пробоотбора позволит совершить прорыв в области экологических, океанологических, геохимических изысканий.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12202D"/>
          <w:sz w:val="26"/>
          <w:szCs w:val="26"/>
        </w:rPr>
        <w:t xml:space="preserve">Глобальная мобильность</w:t>
      </w:r>
    </w:p>
    <w:p>
      <w:pPr>
        <w:spacing w:after="100" w:before="60" w:line="276"/>
        <w:jc w:val="left"/>
      </w:pPr>
      <w:r>
        <w:rPr>
          <w:rFonts w:ascii="Arial" w:cs="Arial" w:eastAsia="Arial" w:hAnsi="Arial"/>
          <w:color w:val="5A6774"/>
          <w:sz w:val="22"/>
          <w:szCs w:val="22"/>
        </w:rPr>
        <w:t xml:space="preserve">Возможность отправки в любую точку мира позволит находить работу вне сезона Арктической навигации.</w:t>
      </w:r>
    </w:p>
    <w:p>
      <w:r>
        <w:br w:type="pag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05206"/>
          <w:spacing w:val="80"/>
          <w:sz w:val="18"/>
          <w:szCs w:val="18"/>
        </w:rPr>
        <w:t xml:space="preserve">МОДУЛЬНАЯ АРХИТЕКТУРА</w:t>
      </w:r>
    </w:p>
    <w:p>
      <w:pPr>
        <w:spacing w:after="200" w:before="60"/>
      </w:pPr>
      <w:r>
        <w:rPr>
          <w:rFonts w:ascii="Arial" w:cs="Arial" w:eastAsia="Arial" w:hAnsi="Arial"/>
          <w:b/>
          <w:bCs/>
          <w:color w:val="E05206"/>
          <w:sz w:val="40"/>
          <w:szCs w:val="40"/>
        </w:rPr>
        <w:t xml:space="preserve">5 типов</w:t>
      </w:r>
      <w:r>
        <w:rPr>
          <w:rFonts w:ascii="Arial" w:cs="Arial" w:eastAsia="Arial" w:hAnsi="Arial"/>
          <w:b/>
          <w:bCs/>
          <w:color w:val="12202D"/>
          <w:sz w:val="40"/>
          <w:szCs w:val="40"/>
        </w:rPr>
        <w:t xml:space="preserve"> сменного оборудования</w:t>
      </w:r>
    </w:p>
    <w:p>
      <w:pPr>
        <w:spacing w:after="100" w:before="60" w:line="276"/>
        <w:jc w:val="left"/>
      </w:pPr>
      <w:r>
        <w:rPr>
          <w:rFonts w:ascii="Arial" w:cs="Arial" w:eastAsia="Arial" w:hAnsi="Arial"/>
          <w:color w:val="5A6774"/>
          <w:sz w:val="22"/>
          <w:szCs w:val="22"/>
        </w:rPr>
        <w:t xml:space="preserve">Рубка с возможностью размещения научного персонала на борту для контроля пробоотбора автоматическими системами и управления ТНПА. 5 типов сменного оборудования. Каждый модуль оборудован лебёдкой для спуска/подъёма.</w:t>
      </w:r>
    </w:p>
    <w:p>
      <w:pPr>
        <w:spacing w:before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714500" cy="1333500"/>
                  <wp:effectExtent t="0" r="0" b="0" l="0"/>
                  <wp:docPr id="1" name="Экологический модуль.png" descr="Экологический модуль.png" title="Экологический модуль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8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2202D"/>
                <w:sz w:val="24"/>
                <w:szCs w:val="24"/>
              </w:rPr>
              <w:t xml:space="preserve">1. Экология</w:t>
            </w:r>
          </w:p>
          <w:p>
            <w:pPr>
              <w:spacing w:line="276"/>
            </w:pPr>
            <w:r>
              <w:rPr>
                <w:rFonts w:ascii="Arial" w:cs="Arial" w:eastAsia="Arial" w:hAnsi="Arial"/>
                <w:color w:val="5A6774"/>
                <w:sz w:val="20"/>
                <w:szCs w:val="20"/>
              </w:rPr>
              <w:t xml:space="preserve">Кассета с батометрами, CTD зонд, дночерпатели либо грунтовые трубки для многократного отбора проб с разных точек. Возможность установки подводной навигации USBL.</w:t>
            </w:r>
          </w:p>
        </w:tc>
      </w:tr>
    </w:tbl>
    <w:p>
      <w:pPr>
        <w:spacing w:befor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714500" cy="1333500"/>
                  <wp:effectExtent t="0" r="0" b="0" l="0"/>
                  <wp:docPr id="1" name="Инспекционный модуль Компактный ROV, свет, видеокамеры, гидролокатор ближнего обзора, газоанализ.png" descr="Инспекционный модуль Компактный ROV, свет, видеокамеры, гидролокатор ближнего обзора, газоанализ.png" title="Инспекционный модуль Компактный ROV, свет, видеокамеры, гидролокатор ближнего обзора, газоанализ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8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2202D"/>
                <w:sz w:val="24"/>
                <w:szCs w:val="24"/>
              </w:rPr>
              <w:t xml:space="preserve">2. ТНПА</w:t>
            </w:r>
          </w:p>
          <w:p>
            <w:pPr>
              <w:spacing w:line="276"/>
            </w:pPr>
            <w:r>
              <w:rPr>
                <w:rFonts w:ascii="Arial" w:cs="Arial" w:eastAsia="Arial" w:hAnsi="Arial"/>
                <w:color w:val="5A6774"/>
                <w:sz w:val="20"/>
                <w:szCs w:val="20"/>
              </w:rPr>
              <w:t xml:space="preserve">Спуск и подъём ТНПА массой до 300 кг через раздвижной пандус модуля. Управление оператором из рубки, в дальнейшем — ретранслятор для управления с материнского судна.</w:t>
            </w:r>
          </w:p>
        </w:tc>
      </w:tr>
    </w:tbl>
    <w:p>
      <w:pPr>
        <w:spacing w:befor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714500" cy="1333500"/>
                  <wp:effectExtent t="0" r="0" b="0" l="0"/>
                  <wp:docPr id="1" name="планктон.png" descr="планктон.png" title="планктон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8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2202D"/>
                <w:sz w:val="24"/>
                <w:szCs w:val="24"/>
              </w:rPr>
              <w:t xml:space="preserve">3. Планктон</w:t>
            </w:r>
          </w:p>
          <w:p>
            <w:pPr>
              <w:spacing w:line="276"/>
            </w:pPr>
            <w:r>
              <w:rPr>
                <w:rFonts w:ascii="Arial" w:cs="Arial" w:eastAsia="Arial" w:hAnsi="Arial"/>
                <w:color w:val="5A6774"/>
                <w:sz w:val="20"/>
                <w:szCs w:val="20"/>
              </w:rPr>
              <w:t xml:space="preserve">Модуль отбора проб планктона разного типа в толще воды. Позволяет отбирать планктон в приповерхностном и придонном слое.</w:t>
            </w:r>
          </w:p>
        </w:tc>
      </w:tr>
    </w:tbl>
    <w:p>
      <w:pPr>
        <w:spacing w:befor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714500" cy="1333500"/>
                  <wp:effectExtent t="0" r="0" b="0" l="0"/>
                  <wp:docPr id="1" name="Буксир.png" descr="Буксир.png" title="Буксир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8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2202D"/>
                <w:sz w:val="24"/>
                <w:szCs w:val="24"/>
              </w:rPr>
              <w:t xml:space="preserve">4. Буксируемые системы</w:t>
            </w:r>
          </w:p>
          <w:p>
            <w:pPr>
              <w:spacing w:line="276"/>
            </w:pPr>
            <w:r>
              <w:rPr>
                <w:rFonts w:ascii="Arial" w:cs="Arial" w:eastAsia="Arial" w:hAnsi="Arial"/>
                <w:color w:val="5A6774"/>
                <w:sz w:val="20"/>
                <w:szCs w:val="20"/>
              </w:rPr>
              <w:t xml:space="preserve">ГБО, профилограф, магнитометр и другие геофизические инструменты в одном модуле.</w:t>
            </w:r>
          </w:p>
        </w:tc>
      </w:tr>
    </w:tbl>
    <w:p>
      <w:pPr>
        <w:spacing w:befor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714500" cy="1333500"/>
                  <wp:effectExtent t="0" r="0" b="0" l="0"/>
                  <wp:docPr id="1" name="доплеровский профилограф.png" descr="доплеровский профилограф.png" title="доплеровский профилограф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8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2202D"/>
                <w:sz w:val="24"/>
                <w:szCs w:val="24"/>
              </w:rPr>
              <w:t xml:space="preserve">5. Океанологический</w:t>
            </w:r>
          </w:p>
          <w:p>
            <w:pPr>
              <w:spacing w:line="276"/>
            </w:pPr>
            <w:r>
              <w:rPr>
                <w:rFonts w:ascii="Arial" w:cs="Arial" w:eastAsia="Arial" w:hAnsi="Arial"/>
                <w:color w:val="5A6774"/>
                <w:sz w:val="20"/>
                <w:szCs w:val="20"/>
              </w:rPr>
              <w:t xml:space="preserve">Доплеровский профилограф измеряет скорость и направление течений по глубине для океанологического профилирования.</w:t>
            </w:r>
          </w:p>
        </w:tc>
      </w:tr>
    </w:tbl>
    <w:p>
      <w:r>
        <w:br w:type="pag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05206"/>
          <w:spacing w:val="80"/>
          <w:sz w:val="18"/>
          <w:szCs w:val="18"/>
        </w:rPr>
        <w:t xml:space="preserve">ДОПОЛНИТЕЛЬНОЕ ОБОРУДОВАНИЕ</w:t>
      </w:r>
    </w:p>
    <w:p>
      <w:pPr>
        <w:spacing w:after="200" w:before="60"/>
      </w:pPr>
      <w:r>
        <w:rPr>
          <w:rFonts w:ascii="Arial" w:cs="Arial" w:eastAsia="Arial" w:hAnsi="Arial"/>
          <w:b/>
          <w:bCs/>
          <w:color w:val="12202D"/>
          <w:sz w:val="40"/>
          <w:szCs w:val="40"/>
        </w:rPr>
        <w:t xml:space="preserve">Палубное оснащение </w:t>
      </w:r>
      <w:r>
        <w:rPr>
          <w:rFonts w:ascii="Arial" w:cs="Arial" w:eastAsia="Arial" w:hAnsi="Arial"/>
          <w:b/>
          <w:bCs/>
          <w:color w:val="E05206"/>
          <w:sz w:val="40"/>
          <w:szCs w:val="40"/>
        </w:rPr>
        <w:t xml:space="preserve">MSV-11</w:t>
      </w:r>
    </w:p>
    <w:p>
      <w:pPr>
        <w:spacing w:after="100" w:before="60" w:line="276"/>
        <w:jc w:val="left"/>
      </w:pPr>
      <w:r>
        <w:rPr>
          <w:rFonts w:ascii="Arial" w:cs="Arial" w:eastAsia="Arial" w:hAnsi="Arial"/>
          <w:color w:val="5A6774"/>
          <w:sz w:val="22"/>
          <w:szCs w:val="22"/>
        </w:rPr>
        <w:t xml:space="preserve">MSV-11 комплектуется палубным оборудованием для безопасного проведения исследовательских работ в открытом море.</w:t>
      </w:r>
    </w:p>
    <w:p>
      <w:pPr>
        <w:spacing w:before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714500" cy="1333500"/>
                  <wp:effectExtent t="0" r="0" b="0" l="0"/>
                  <wp:docPr id="1" name="Арка малая.png" descr="Арка малая.png" title="Арка малая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8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2202D"/>
                <w:sz w:val="24"/>
                <w:szCs w:val="24"/>
              </w:rPr>
              <w:t xml:space="preserve">1. П-образная арка</w:t>
            </w:r>
          </w:p>
          <w:p>
            <w:pPr>
              <w:spacing w:line="276"/>
            </w:pPr>
            <w:r>
              <w:rPr>
                <w:rFonts w:ascii="Arial" w:cs="Arial" w:eastAsia="Arial" w:hAnsi="Arial"/>
                <w:color w:val="5A6774"/>
                <w:sz w:val="20"/>
                <w:szCs w:val="20"/>
              </w:rPr>
              <w:t xml:space="preserve">Силовая П-образная арка на корме. Опорная конструкция для крепления антенн, навигационных огней, прожекторов.</w:t>
            </w:r>
          </w:p>
        </w:tc>
      </w:tr>
    </w:tbl>
    <w:p>
      <w:pPr>
        <w:spacing w:befor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714500" cy="1333500"/>
                  <wp:effectExtent t="0" r="0" b="0" l="0"/>
                  <wp:docPr id="1" name="Кран-балка.png" descr="Кран-балка.png" title="Кран-балка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8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2202D"/>
                <w:sz w:val="24"/>
                <w:szCs w:val="24"/>
              </w:rPr>
              <w:t xml:space="preserve">2. Кран-балка / манипулятор</w:t>
            </w:r>
          </w:p>
          <w:p>
            <w:pPr>
              <w:spacing w:line="276"/>
            </w:pPr>
            <w:r>
              <w:rPr>
                <w:rFonts w:ascii="Arial" w:cs="Arial" w:eastAsia="Arial" w:hAnsi="Arial"/>
                <w:color w:val="5A6774"/>
                <w:sz w:val="20"/>
                <w:szCs w:val="20"/>
              </w:rPr>
              <w:t xml:space="preserve">Для спуска/подъёма ТНПА, кассеты с батометрами, автоматических модулей. Для перегрузки оборудования на берег либо материнское судно.</w:t>
            </w:r>
          </w:p>
        </w:tc>
      </w:tr>
    </w:tbl>
    <w:p>
      <w:pPr>
        <w:spacing w:befor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714500" cy="1333500"/>
                  <wp:effectExtent t="0" r="0" b="0" l="0"/>
                  <wp:docPr id="1" name="Лебедка.png" descr="Лебедка.png" title="Лебедка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8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2202D"/>
                <w:sz w:val="24"/>
                <w:szCs w:val="24"/>
              </w:rPr>
              <w:t xml:space="preserve">3. Лебёдки</w:t>
            </w:r>
          </w:p>
          <w:p>
            <w:pPr>
              <w:spacing w:line="276"/>
            </w:pPr>
            <w:r>
              <w:rPr>
                <w:rFonts w:ascii="Arial" w:cs="Arial" w:eastAsia="Arial" w:hAnsi="Arial"/>
                <w:color w:val="5A6774"/>
                <w:sz w:val="20"/>
                <w:szCs w:val="20"/>
              </w:rPr>
              <w:t xml:space="preserve">2 шт. для спуска и подъёма научных приборов на заданные горизонты.</w:t>
            </w:r>
          </w:p>
        </w:tc>
      </w:tr>
    </w:tbl>
    <w:p>
      <w:pPr>
        <w:spacing w:befor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714500" cy="1333500"/>
                  <wp:effectExtent t="0" r="0" b="0" l="0"/>
                  <wp:docPr id="1" name="спасательные плоты 3.png" descr="спасательные плоты 3.png" title="спасательные плоты 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8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2202D"/>
                <w:sz w:val="24"/>
                <w:szCs w:val="24"/>
              </w:rPr>
              <w:t xml:space="preserve">4. Спасательные плоты</w:t>
            </w:r>
          </w:p>
          <w:p>
            <w:pPr>
              <w:spacing w:line="276"/>
            </w:pPr>
            <w:r>
              <w:rPr>
                <w:rFonts w:ascii="Arial" w:cs="Arial" w:eastAsia="Arial" w:hAnsi="Arial"/>
                <w:color w:val="5A6774"/>
                <w:sz w:val="20"/>
                <w:szCs w:val="20"/>
              </w:rPr>
              <w:t xml:space="preserve">В контейнерах согласно требованиям Регистра.</w:t>
            </w:r>
          </w:p>
        </w:tc>
      </w:tr>
    </w:tbl>
    <w:p>
      <w:pPr>
        <w:spacing w:before="200"/>
      </w:pPr>
    </w:p>
    <w:p>
      <w:pPr>
        <w:jc w:val="center"/>
      </w:pPr>
      <w:r>
        <w:drawing>
          <wp:inline distT="0" distB="0" distL="0" distR="0">
            <wp:extent cx="4762500" cy="3238500"/>
            <wp:effectExtent t="0" r="0" b="0" l="0"/>
            <wp:docPr id="1" name="Каталог 2.png" descr="Каталог 2.png" title="Каталог 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05206"/>
          <w:spacing w:val="80"/>
          <w:sz w:val="18"/>
          <w:szCs w:val="18"/>
        </w:rPr>
        <w:t xml:space="preserve">ПОКРЫТИЕ ЗАДАЧ ЗАКАЗЧИКА</w:t>
      </w:r>
    </w:p>
    <w:p>
      <w:pPr>
        <w:spacing w:after="200" w:before="60"/>
      </w:pPr>
      <w:r>
        <w:rPr>
          <w:rFonts w:ascii="Arial" w:cs="Arial" w:eastAsia="Arial" w:hAnsi="Arial"/>
          <w:b/>
          <w:bCs/>
          <w:color w:val="12202D"/>
          <w:sz w:val="40"/>
          <w:szCs w:val="40"/>
        </w:rPr>
        <w:t xml:space="preserve">Применение в задачах </w:t>
      </w:r>
      <w:r>
        <w:rPr>
          <w:rFonts w:ascii="Arial" w:cs="Arial" w:eastAsia="Arial" w:hAnsi="Arial"/>
          <w:b/>
          <w:bCs/>
          <w:color w:val="1B6FA8"/>
          <w:sz w:val="40"/>
          <w:szCs w:val="40"/>
        </w:rPr>
        <w:t xml:space="preserve">нефтегазовой отрасли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800"/>
        <w:gridCol w:w="3838"/>
      </w:tblGrid>
      <w:tr>
        <w:tc>
          <w:tcPr>
            <w:tcW w:type="dxa" w:w="3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2202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Задача</w:t>
            </w:r>
          </w:p>
        </w:tc>
        <w:tc>
          <w:tcPr>
            <w:tcW w:type="dxa" w:w="2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2202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Оборудование</w:t>
            </w:r>
          </w:p>
        </w:tc>
        <w:tc>
          <w:tcPr>
            <w:tcW w:type="dxa" w:w="38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2202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Возможности</w:t>
            </w:r>
          </w:p>
        </w:tc>
      </w:tr>
      <w:tr>
        <w:tc>
          <w:tcPr>
            <w:tcW w:type="dxa" w:w="3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12202D"/>
                <w:sz w:val="18"/>
                <w:szCs w:val="18"/>
              </w:rPr>
              <w:t xml:space="preserve">Гидрохимический мониторинг</w:t>
            </w:r>
          </w:p>
        </w:tc>
        <w:tc>
          <w:tcPr>
            <w:tcW w:type="dxa" w:w="2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2202D"/>
                <w:sz w:val="18"/>
                <w:szCs w:val="18"/>
              </w:rPr>
              <w:t xml:space="preserve">Кассета с батометрами</w:t>
            </w:r>
          </w:p>
        </w:tc>
        <w:tc>
          <w:tcPr>
            <w:tcW w:type="dxa" w:w="38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5A6774"/>
                <w:sz w:val="18"/>
                <w:szCs w:val="18"/>
              </w:rPr>
              <w:t xml:space="preserve">Отбор проб воды на различных горизонтах, координатная привязка через DP1</w:t>
            </w:r>
          </w:p>
        </w:tc>
      </w:tr>
      <w:tr>
        <w:tc>
          <w:tcPr>
            <w:tcW w:type="dxa" w:w="3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12202D"/>
                <w:sz w:val="18"/>
                <w:szCs w:val="18"/>
              </w:rPr>
              <w:t xml:space="preserve">Геохимический отбор проб грунта</w:t>
            </w:r>
          </w:p>
        </w:tc>
        <w:tc>
          <w:tcPr>
            <w:tcW w:type="dxa" w:w="2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2202D"/>
                <w:sz w:val="18"/>
                <w:szCs w:val="18"/>
              </w:rPr>
              <w:t xml:space="preserve">Дночерпатель</w:t>
            </w:r>
          </w:p>
        </w:tc>
        <w:tc>
          <w:tcPr>
            <w:tcW w:type="dxa" w:w="38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5A6774"/>
                <w:sz w:val="18"/>
                <w:szCs w:val="18"/>
              </w:rPr>
              <w:t xml:space="preserve">Ненарушенные образцы донных отложений, геохимический анализ</w:t>
            </w:r>
          </w:p>
        </w:tc>
      </w:tr>
      <w:tr>
        <w:tc>
          <w:tcPr>
            <w:tcW w:type="dxa" w:w="3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12202D"/>
                <w:sz w:val="18"/>
                <w:szCs w:val="18"/>
              </w:rPr>
              <w:t xml:space="preserve">Биомониторинг планктона</w:t>
            </w:r>
          </w:p>
        </w:tc>
        <w:tc>
          <w:tcPr>
            <w:tcW w:type="dxa" w:w="2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2202D"/>
                <w:sz w:val="18"/>
                <w:szCs w:val="18"/>
              </w:rPr>
              <w:t xml:space="preserve">Сетки Джеди</w:t>
            </w:r>
          </w:p>
        </w:tc>
        <w:tc>
          <w:tcPr>
            <w:tcW w:type="dxa" w:w="38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5A6774"/>
                <w:sz w:val="18"/>
                <w:szCs w:val="18"/>
              </w:rPr>
              <w:t xml:space="preserve">Отбор проб планктона, серийный отбор на станциях</w:t>
            </w:r>
          </w:p>
        </w:tc>
      </w:tr>
      <w:tr>
        <w:tc>
          <w:tcPr>
            <w:tcW w:type="dxa" w:w="3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12202D"/>
                <w:sz w:val="18"/>
                <w:szCs w:val="18"/>
              </w:rPr>
              <w:t xml:space="preserve">Визуальный осмотр</w:t>
            </w:r>
          </w:p>
        </w:tc>
        <w:tc>
          <w:tcPr>
            <w:tcW w:type="dxa" w:w="2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2202D"/>
                <w:sz w:val="18"/>
                <w:szCs w:val="18"/>
              </w:rPr>
              <w:t xml:space="preserve">ТНПА (ROV)</w:t>
            </w:r>
          </w:p>
        </w:tc>
        <w:tc>
          <w:tcPr>
            <w:tcW w:type="dxa" w:w="38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5A6774"/>
                <w:sz w:val="18"/>
                <w:szCs w:val="18"/>
              </w:rPr>
              <w:t xml:space="preserve">Управление из рубки, видеосъёмка, инспекция</w:t>
            </w:r>
          </w:p>
        </w:tc>
      </w:tr>
      <w:tr>
        <w:tc>
          <w:tcPr>
            <w:tcW w:type="dxa" w:w="3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12202D"/>
                <w:sz w:val="18"/>
                <w:szCs w:val="18"/>
              </w:rPr>
              <w:t xml:space="preserve">Экомониторинг скважин</w:t>
            </w:r>
          </w:p>
        </w:tc>
        <w:tc>
          <w:tcPr>
            <w:tcW w:type="dxa" w:w="2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2202D"/>
                <w:sz w:val="18"/>
                <w:szCs w:val="18"/>
              </w:rPr>
              <w:t xml:space="preserve">Батометры + Дночерпатель</w:t>
            </w:r>
          </w:p>
        </w:tc>
        <w:tc>
          <w:tcPr>
            <w:tcW w:type="dxa" w:w="38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5A6774"/>
                <w:sz w:val="18"/>
                <w:szCs w:val="18"/>
              </w:rPr>
              <w:t xml:space="preserve">Комплексный отбор проб воды и грунта</w:t>
            </w:r>
          </w:p>
        </w:tc>
      </w:tr>
      <w:tr>
        <w:tc>
          <w:tcPr>
            <w:tcW w:type="dxa" w:w="3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12202D"/>
                <w:sz w:val="18"/>
                <w:szCs w:val="18"/>
              </w:rPr>
              <w:t xml:space="preserve">Комплексные исследования</w:t>
            </w:r>
          </w:p>
        </w:tc>
        <w:tc>
          <w:tcPr>
            <w:tcW w:type="dxa" w:w="2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2202D"/>
                <w:sz w:val="18"/>
                <w:szCs w:val="18"/>
              </w:rPr>
              <w:t xml:space="preserve">Батометры + Джеди + ТНПА</w:t>
            </w:r>
          </w:p>
        </w:tc>
        <w:tc>
          <w:tcPr>
            <w:tcW w:type="dxa" w:w="38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5A6774"/>
                <w:sz w:val="18"/>
                <w:szCs w:val="18"/>
              </w:rPr>
              <w:t xml:space="preserve">Полный цикл за один выход</w:t>
            </w:r>
          </w:p>
        </w:tc>
      </w:tr>
    </w:tbl>
    <w:p>
      <w:r>
        <w:br w:type="pag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05206"/>
          <w:spacing w:val="80"/>
          <w:sz w:val="18"/>
          <w:szCs w:val="18"/>
        </w:rPr>
        <w:t xml:space="preserve">ОБЛАСТИ ПРИМЕНЕНИЯ</w:t>
      </w:r>
    </w:p>
    <w:p>
      <w:pPr>
        <w:spacing w:after="200" w:before="60"/>
      </w:pPr>
      <w:r>
        <w:rPr>
          <w:rFonts w:ascii="Arial" w:cs="Arial" w:eastAsia="Arial" w:hAnsi="Arial"/>
          <w:b/>
          <w:bCs/>
          <w:color w:val="12202D"/>
          <w:sz w:val="40"/>
          <w:szCs w:val="40"/>
        </w:rPr>
        <w:t xml:space="preserve">Где работает </w:t>
      </w:r>
      <w:r>
        <w:rPr>
          <w:rFonts w:ascii="Arial" w:cs="Arial" w:eastAsia="Arial" w:hAnsi="Arial"/>
          <w:b/>
          <w:bCs/>
          <w:color w:val="E05206"/>
          <w:sz w:val="40"/>
          <w:szCs w:val="40"/>
        </w:rPr>
        <w:t xml:space="preserve">MSV-11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12202D"/>
          <w:sz w:val="24"/>
          <w:szCs w:val="24"/>
        </w:rPr>
        <w:t xml:space="preserve">Экологический мониторинг</w:t>
      </w:r>
    </w:p>
    <w:p>
      <w:pPr>
        <w:spacing w:after="100" w:before="60" w:line="276"/>
        <w:jc w:val="left"/>
      </w:pPr>
      <w:r>
        <w:rPr>
          <w:rFonts w:ascii="Arial" w:cs="Arial" w:eastAsia="Arial" w:hAnsi="Arial"/>
          <w:color w:val="5A6774"/>
          <w:sz w:val="22"/>
          <w:szCs w:val="22"/>
        </w:rPr>
        <w:t xml:space="preserve">Отбор проб воды, донных отложений, зоопланктона.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12202D"/>
          <w:sz w:val="24"/>
          <w:szCs w:val="24"/>
        </w:rPr>
        <w:t xml:space="preserve">Работа с ТНПА</w:t>
      </w:r>
    </w:p>
    <w:p>
      <w:pPr>
        <w:spacing w:after="100" w:before="60" w:line="276"/>
        <w:jc w:val="left"/>
      </w:pPr>
      <w:r>
        <w:rPr>
          <w:rFonts w:ascii="Arial" w:cs="Arial" w:eastAsia="Arial" w:hAnsi="Arial"/>
          <w:color w:val="5A6774"/>
          <w:sz w:val="22"/>
          <w:szCs w:val="22"/>
        </w:rPr>
        <w:t xml:space="preserve">Визуальный осмотр законсервированных устьев скважин, газонефтепроводов.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12202D"/>
          <w:sz w:val="24"/>
          <w:szCs w:val="24"/>
        </w:rPr>
        <w:t xml:space="preserve">Геохимические исследования</w:t>
      </w:r>
    </w:p>
    <w:p>
      <w:pPr>
        <w:spacing w:after="100" w:before="60" w:line="276"/>
        <w:jc w:val="left"/>
      </w:pPr>
      <w:r>
        <w:rPr>
          <w:rFonts w:ascii="Arial" w:cs="Arial" w:eastAsia="Arial" w:hAnsi="Arial"/>
          <w:color w:val="5A6774"/>
          <w:sz w:val="22"/>
          <w:szCs w:val="22"/>
        </w:rPr>
        <w:t xml:space="preserve">Отбор проб грунта для определения углеводородного флюида с координатной привязкой.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12202D"/>
          <w:sz w:val="24"/>
          <w:szCs w:val="24"/>
        </w:rPr>
        <w:t xml:space="preserve">Гидрография</w:t>
      </w:r>
    </w:p>
    <w:p>
      <w:pPr>
        <w:spacing w:after="100" w:before="60" w:line="276"/>
        <w:jc w:val="left"/>
      </w:pPr>
      <w:r>
        <w:rPr>
          <w:rFonts w:ascii="Arial" w:cs="Arial" w:eastAsia="Arial" w:hAnsi="Arial"/>
          <w:color w:val="5A6774"/>
          <w:sz w:val="22"/>
          <w:szCs w:val="22"/>
        </w:rPr>
        <w:t xml:space="preserve">Буксировка погружного оборудования: ГБО, профилографы, магнитометры.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12202D"/>
          <w:sz w:val="24"/>
          <w:szCs w:val="24"/>
        </w:rPr>
        <w:t xml:space="preserve">Работа в портах</w:t>
      </w:r>
    </w:p>
    <w:p>
      <w:pPr>
        <w:spacing w:after="100" w:before="60" w:line="276"/>
        <w:jc w:val="left"/>
      </w:pPr>
      <w:r>
        <w:rPr>
          <w:rFonts w:ascii="Arial" w:cs="Arial" w:eastAsia="Arial" w:hAnsi="Arial"/>
          <w:color w:val="5A6774"/>
          <w:sz w:val="22"/>
          <w:szCs w:val="22"/>
        </w:rPr>
        <w:t xml:space="preserve">Осмотр систем ВРК нефте/газотанкеров.</w:t>
      </w:r>
    </w:p>
    <w:p>
      <w:r>
        <w:br w:type="pag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05206"/>
          <w:spacing w:val="80"/>
          <w:sz w:val="18"/>
          <w:szCs w:val="18"/>
        </w:rPr>
        <w:t xml:space="preserve">ПОЧЕМУ МЫ</w:t>
      </w:r>
    </w:p>
    <w:p>
      <w:pPr>
        <w:spacing w:after="200" w:before="60"/>
      </w:pPr>
      <w:r>
        <w:rPr>
          <w:rFonts w:ascii="Arial" w:cs="Arial" w:eastAsia="Arial" w:hAnsi="Arial"/>
          <w:b/>
          <w:bCs/>
          <w:color w:val="12202D"/>
          <w:sz w:val="40"/>
          <w:szCs w:val="40"/>
        </w:rPr>
        <w:t xml:space="preserve">ГК «Лабораторный кластер» — </w:t>
      </w:r>
      <w:r>
        <w:rPr>
          <w:rFonts w:ascii="Arial" w:cs="Arial" w:eastAsia="Arial" w:hAnsi="Arial"/>
          <w:b/>
          <w:bCs/>
          <w:color w:val="1B6FA8"/>
          <w:sz w:val="40"/>
          <w:szCs w:val="40"/>
        </w:rPr>
        <w:t xml:space="preserve">идеальный партнёр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1B6FA8"/>
          <w:sz w:val="24"/>
          <w:szCs w:val="24"/>
        </w:rPr>
        <w:t xml:space="preserve">Лаборатория и методики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Arial" w:cs="Arial" w:eastAsia="Arial" w:hAnsi="Arial"/>
          <w:color w:val="5A6774"/>
          <w:sz w:val="22"/>
          <w:szCs w:val="22"/>
        </w:rPr>
        <w:t xml:space="preserve">Мы самая крупная частная лаборатория в РФ.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Arial" w:cs="Arial" w:eastAsia="Arial" w:hAnsi="Arial"/>
          <w:color w:val="5A6774"/>
          <w:sz w:val="22"/>
          <w:szCs w:val="22"/>
        </w:rPr>
        <w:t xml:space="preserve">Наш отдел качества способен разработать и аттестовать методики по отбору проб автоматическим оборудованием с МНС.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Arial" w:cs="Arial" w:eastAsia="Arial" w:hAnsi="Arial"/>
          <w:color w:val="5A6774"/>
          <w:sz w:val="22"/>
          <w:szCs w:val="22"/>
        </w:rPr>
        <w:t xml:space="preserve">Мы добавим эти методики в область аккредитации. Подключим автоматический лабораторный комплекс к программе АЛАБ для подтверждения прослеживаемости отобранной пробы.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Arial" w:cs="Arial" w:eastAsia="Arial" w:hAnsi="Arial"/>
          <w:color w:val="5A6774"/>
          <w:sz w:val="22"/>
          <w:szCs w:val="22"/>
        </w:rPr>
        <w:t xml:space="preserve">Наш технический отдел имеет опыт разработки и регистрации собственного оборудования, в том числе по пробоотбору.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E05206"/>
          <w:sz w:val="24"/>
          <w:szCs w:val="24"/>
        </w:rPr>
        <w:t xml:space="preserve">Собственный научный флот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Arial" w:cs="Arial" w:eastAsia="Arial" w:hAnsi="Arial"/>
          <w:color w:val="5A6774"/>
          <w:sz w:val="22"/>
          <w:szCs w:val="22"/>
        </w:rPr>
        <w:t xml:space="preserve">В составе нашего флота 6 судов РМРС. Из них 3 работает в Арктике, в том числе на объектах ПАО «Газпром нефть».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Arial" w:cs="Arial" w:eastAsia="Arial" w:hAnsi="Arial"/>
          <w:color w:val="5A6774"/>
          <w:sz w:val="22"/>
          <w:szCs w:val="22"/>
        </w:rPr>
        <w:t xml:space="preserve">В Салехарде базируется судно «Ладога», в Енисейске суда «Вихревой» и «Вольный».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Arial" w:cs="Arial" w:eastAsia="Arial" w:hAnsi="Arial"/>
          <w:color w:val="5A6774"/>
          <w:sz w:val="22"/>
          <w:szCs w:val="22"/>
        </w:rPr>
        <w:t xml:space="preserve">Наши суда оборудованы судовыми лабораториями и могут быть использованы в качестве материнских.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Arial" w:cs="Arial" w:eastAsia="Arial" w:hAnsi="Arial"/>
          <w:color w:val="5A6774"/>
          <w:sz w:val="22"/>
          <w:szCs w:val="22"/>
        </w:rPr>
        <w:t xml:space="preserve">Ещё 2 судна уходят работать на Баренцево море в Мурманск и могут быть задействованы на испытаниях катамарана.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Arial" w:cs="Arial" w:eastAsia="Arial" w:hAnsi="Arial"/>
          <w:color w:val="5A6774"/>
          <w:sz w:val="22"/>
          <w:szCs w:val="22"/>
        </w:rPr>
        <w:t xml:space="preserve">Отдел флота имеет опыт работы в Арктике: отбор проб, обследования скважин, гидрография, океанология, лёгкая сейсмика, водолазные осмотры, судоремонт под надзором РМРС.</w:t>
      </w:r>
    </w:p>
    <w:p>
      <w:pPr>
        <w:spacing w:after="100" w:before="200" w:line="276"/>
        <w:jc w:val="left"/>
      </w:pPr>
      <w:r>
        <w:rPr>
          <w:rFonts w:ascii="Arial" w:cs="Arial" w:eastAsia="Arial" w:hAnsi="Arial"/>
          <w:color w:val="5A6774"/>
          <w:sz w:val="22"/>
          <w:szCs w:val="22"/>
        </w:rPr>
        <w:t xml:space="preserve">Такой симбиоз гарантирует, что MSV-11 будет построен под реальные задачи добывающей компании, а не инженеров-судостроителей или поставщиков оборудования.</w:t>
      </w:r>
    </w:p>
    <w:p>
      <w:pPr>
        <w:spacing w:before="100"/>
      </w:pPr>
      <w:r>
        <w:rPr>
          <w:rFonts w:ascii="Arial" w:cs="Arial" w:eastAsia="Arial" w:hAnsi="Arial"/>
          <w:b/>
          <w:bCs/>
          <w:i/>
          <w:iCs/>
          <w:color w:val="E05206"/>
          <w:sz w:val="22"/>
          <w:szCs w:val="22"/>
        </w:rPr>
        <w:t xml:space="preserve">Мы не просто предлагаем построить судно — мы создаём комплексную лабораторию на воде.</w:t>
      </w:r>
    </w:p>
    <w:p>
      <w:r>
        <w:br w:type="pag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05206"/>
          <w:spacing w:val="80"/>
          <w:sz w:val="18"/>
          <w:szCs w:val="18"/>
        </w:rPr>
        <w:t xml:space="preserve">ДОРОЖНАЯ КАРТА</w:t>
      </w:r>
    </w:p>
    <w:p>
      <w:pPr>
        <w:spacing w:after="200" w:before="60"/>
      </w:pPr>
      <w:r>
        <w:rPr>
          <w:rFonts w:ascii="Arial" w:cs="Arial" w:eastAsia="Arial" w:hAnsi="Arial"/>
          <w:b/>
          <w:bCs/>
          <w:color w:val="12202D"/>
          <w:sz w:val="40"/>
          <w:szCs w:val="40"/>
        </w:rPr>
        <w:t xml:space="preserve">Этапы реализации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E05206"/>
          <w:sz w:val="26"/>
          <w:szCs w:val="26"/>
        </w:rPr>
        <w:t xml:space="preserve">Этап 1. </w:t>
      </w:r>
      <w:r>
        <w:rPr>
          <w:rFonts w:ascii="Arial" w:cs="Arial" w:eastAsia="Arial" w:hAnsi="Arial"/>
          <w:b/>
          <w:bCs/>
          <w:color w:val="12202D"/>
          <w:sz w:val="26"/>
          <w:szCs w:val="26"/>
        </w:rPr>
        <w:t xml:space="preserve">Строительство судна с DP1 (10–12 месяцев)</w:t>
      </w:r>
    </w:p>
    <w:p>
      <w:pPr>
        <w:spacing w:after="100" w:before="60" w:line="276"/>
        <w:jc w:val="left"/>
      </w:pPr>
      <w:r>
        <w:rPr>
          <w:rFonts w:ascii="Arial" w:cs="Arial" w:eastAsia="Arial" w:hAnsi="Arial"/>
          <w:color w:val="5A6774"/>
          <w:sz w:val="22"/>
          <w:szCs w:val="22"/>
        </w:rPr>
        <w:t xml:space="preserve">Строительство маломерного судна с системой динамического позиционирования DP1 с возможностью буксировки в район работ материнским судном. Получение на построенное судно документов РМРС с неограниченным районом плавания.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E05206"/>
          <w:sz w:val="26"/>
          <w:szCs w:val="26"/>
        </w:rPr>
        <w:t xml:space="preserve">Этап 2. </w:t>
      </w:r>
      <w:r>
        <w:rPr>
          <w:rFonts w:ascii="Arial" w:cs="Arial" w:eastAsia="Arial" w:hAnsi="Arial"/>
          <w:b/>
          <w:bCs/>
          <w:color w:val="12202D"/>
          <w:sz w:val="26"/>
          <w:szCs w:val="26"/>
        </w:rPr>
        <w:t xml:space="preserve">Отработка методик (3–6 месяцев)</w:t>
      </w:r>
    </w:p>
    <w:p>
      <w:pPr>
        <w:spacing w:after="100" w:before="60" w:line="276"/>
        <w:jc w:val="left"/>
      </w:pPr>
      <w:r>
        <w:rPr>
          <w:rFonts w:ascii="Arial" w:cs="Arial" w:eastAsia="Arial" w:hAnsi="Arial"/>
          <w:color w:val="5A6774"/>
          <w:sz w:val="22"/>
          <w:szCs w:val="22"/>
        </w:rPr>
        <w:t xml:space="preserve">Параллельный отбор: основные пробы — по существующим методикам с человеком, параллельные — автоматической системой. Сравнение данных, доказательство совпадения, регистрация методики в РосСтандарте, расширение аккредитации лаборатории.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E05206"/>
          <w:sz w:val="26"/>
          <w:szCs w:val="26"/>
        </w:rPr>
        <w:t xml:space="preserve">Этап 3. </w:t>
      </w:r>
      <w:r>
        <w:rPr>
          <w:rFonts w:ascii="Arial" w:cs="Arial" w:eastAsia="Arial" w:hAnsi="Arial"/>
          <w:b/>
          <w:bCs/>
          <w:color w:val="12202D"/>
          <w:sz w:val="26"/>
          <w:szCs w:val="26"/>
        </w:rPr>
        <w:t xml:space="preserve">Управление МНС с DP1 (параллельно)</w:t>
      </w:r>
    </w:p>
    <w:p>
      <w:pPr>
        <w:spacing w:after="100" w:before="60" w:line="276"/>
        <w:jc w:val="left"/>
      </w:pPr>
      <w:r>
        <w:rPr>
          <w:rFonts w:ascii="Arial" w:cs="Arial" w:eastAsia="Arial" w:hAnsi="Arial"/>
          <w:color w:val="5A6774"/>
          <w:sz w:val="22"/>
          <w:szCs w:val="22"/>
        </w:rPr>
        <w:t xml:space="preserve">Отработка технологии управления МНС с DP1 с материнского судна либо с берега. Судно сразу строится с возможностью переделки в МНС с DP1. МНС компактно умещается в трёх 40-футовых контейнерах.</w:t>
      </w:r>
    </w:p>
    <w:p>
      <w:pPr>
        <w:pBdr>
          <w:top w:val="single" w:color="E05206" w:sz="6" w:space="8"/>
        </w:pBdr>
        <w:spacing w:before="240"/>
      </w:pPr>
      <w:r>
        <w:rPr>
          <w:rFonts w:ascii="Arial" w:cs="Arial" w:eastAsia="Arial" w:hAnsi="Arial"/>
          <w:b/>
          <w:bCs/>
          <w:color w:val="E05206"/>
          <w:sz w:val="28"/>
          <w:szCs w:val="28"/>
        </w:rPr>
        <w:t xml:space="preserve">Этап 1 — строительство: 10–12 месяцев</w:t>
      </w:r>
    </w:p>
    <w:p>
      <w:r>
        <w:br w:type="pag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05206"/>
          <w:spacing w:val="80"/>
          <w:sz w:val="18"/>
          <w:szCs w:val="18"/>
        </w:rPr>
        <w:t xml:space="preserve">КОНТАКТЫ</w:t>
      </w:r>
    </w:p>
    <w:p>
      <w:pPr>
        <w:spacing w:after="200" w:before="60"/>
      </w:pPr>
      <w:r>
        <w:rPr>
          <w:rFonts w:ascii="Arial" w:cs="Arial" w:eastAsia="Arial" w:hAnsi="Arial"/>
          <w:b/>
          <w:bCs/>
          <w:color w:val="12202D"/>
          <w:sz w:val="40"/>
          <w:szCs w:val="40"/>
        </w:rPr>
        <w:t xml:space="preserve">Контакты команды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c>
          <w:tcPr>
            <w:tcW w:type="dxa" w:w="3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2202D"/>
                <w:sz w:val="22"/>
                <w:szCs w:val="22"/>
              </w:rPr>
              <w:t xml:space="preserve">Контактное лицо</w:t>
            </w:r>
          </w:p>
        </w:tc>
        <w:tc>
          <w:tcPr>
            <w:tcW w:type="dxa" w:w="64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5A6774"/>
                <w:sz w:val="22"/>
                <w:szCs w:val="22"/>
              </w:rPr>
              <w:t xml:space="preserve">Нейра Филипп Георгиевич, Учредитель</w:t>
            </w:r>
          </w:p>
        </w:tc>
      </w:tr>
      <w:tr>
        <w:tc>
          <w:tcPr>
            <w:tcW w:type="dxa" w:w="3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2202D"/>
                <w:sz w:val="22"/>
                <w:szCs w:val="22"/>
              </w:rPr>
              <w:t xml:space="preserve">Компания</w:t>
            </w:r>
          </w:p>
        </w:tc>
        <w:tc>
          <w:tcPr>
            <w:tcW w:type="dxa" w:w="64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5A6774"/>
                <w:sz w:val="22"/>
                <w:szCs w:val="22"/>
              </w:rPr>
              <w:t xml:space="preserve">ГК «Лабораторный кластер» · labcluster.ru</w:t>
            </w:r>
          </w:p>
        </w:tc>
      </w:tr>
      <w:tr>
        <w:tc>
          <w:tcPr>
            <w:tcW w:type="dxa" w:w="3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2202D"/>
                <w:sz w:val="22"/>
                <w:szCs w:val="22"/>
              </w:rPr>
              <w:t xml:space="preserve">Адрес</w:t>
            </w:r>
          </w:p>
        </w:tc>
        <w:tc>
          <w:tcPr>
            <w:tcW w:type="dxa" w:w="64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5A6774"/>
                <w:sz w:val="22"/>
                <w:szCs w:val="22"/>
              </w:rPr>
              <w:t xml:space="preserve">195112, г. Санкт-Петербург, Заневский пр., д. 54, к.5</w:t>
            </w:r>
          </w:p>
        </w:tc>
      </w:tr>
      <w:tr>
        <w:tc>
          <w:tcPr>
            <w:tcW w:type="dxa" w:w="3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2202D"/>
                <w:sz w:val="22"/>
                <w:szCs w:val="22"/>
              </w:rPr>
              <w:t xml:space="preserve">Email</w:t>
            </w:r>
          </w:p>
        </w:tc>
        <w:tc>
          <w:tcPr>
            <w:tcW w:type="dxa" w:w="64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5A6774"/>
                <w:sz w:val="22"/>
                <w:szCs w:val="22"/>
              </w:rPr>
              <w:t xml:space="preserve">neira@labcluster.ru</w:t>
            </w:r>
          </w:p>
        </w:tc>
      </w:tr>
      <w:tr>
        <w:tc>
          <w:tcPr>
            <w:tcW w:type="dxa" w:w="3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2202D"/>
                <w:sz w:val="22"/>
                <w:szCs w:val="22"/>
              </w:rPr>
              <w:t xml:space="preserve">Мобильный</w:t>
            </w:r>
          </w:p>
        </w:tc>
        <w:tc>
          <w:tcPr>
            <w:tcW w:type="dxa" w:w="64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5A6774"/>
                <w:sz w:val="22"/>
                <w:szCs w:val="22"/>
              </w:rPr>
              <w:t xml:space="preserve">+7 911 299-95-86</w:t>
            </w:r>
          </w:p>
        </w:tc>
      </w:tr>
      <w:tr>
        <w:tc>
          <w:tcPr>
            <w:tcW w:type="dxa" w:w="3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2202D"/>
                <w:sz w:val="22"/>
                <w:szCs w:val="22"/>
              </w:rPr>
              <w:t xml:space="preserve">Офис</w:t>
            </w:r>
          </w:p>
        </w:tc>
        <w:tc>
          <w:tcPr>
            <w:tcW w:type="dxa" w:w="64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5A6774"/>
                <w:sz w:val="22"/>
                <w:szCs w:val="22"/>
              </w:rPr>
              <w:t xml:space="preserve">+7 (812) 363-08-08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774"/>
        <w:sz w:val="16"/>
        <w:szCs w:val="16"/>
      </w:rPr>
      <w:t xml:space="preserve">MSV-11 Project Presentation  |  </w:t>
    </w:r>
    <w:r>
      <w:rPr>
        <w:rFonts w:ascii="Arial" w:cs="Arial" w:eastAsia="Arial" w:hAnsi="Arial"/>
        <w:color w:val="5A677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0D7DE" w:sz="2" w:space="4"/>
      </w:pBdr>
      <w:tabs>
        <w:tab w:val="right" w:pos="9026"/>
      </w:tabs>
    </w:pPr>
    <w:r>
      <w:rPr>
        <w:rFonts w:ascii="Arial" w:cs="Arial" w:eastAsia="Arial" w:hAnsi="Arial"/>
        <w:color w:val="5A6774"/>
        <w:sz w:val="16"/>
        <w:szCs w:val="16"/>
      </w:rPr>
      <w:t xml:space="preserve">MSV-11 — Технический паспорт</w:t>
    </w:r>
    <w:r>
      <w:rPr>
        <w:rFonts w:ascii="Arial" w:cs="Arial" w:eastAsia="Arial" w:hAnsi="Arial"/>
        <w:color w:val="5A6774"/>
        <w:sz w:val="16"/>
        <w:szCs w:val="16"/>
      </w:rPr>
      <w:t xml:space="preserve">	labcluster.ru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2202D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60" w:before="180"/>
      <w:outlineLvl w:val="1"/>
    </w:pPr>
    <w:rPr>
      <w:rFonts w:ascii="Arial" w:cs="Arial" w:eastAsia="Arial" w:hAnsi="Arial"/>
      <w:b/>
      <w:bCs/>
      <w:color w:val="12202D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093be2a3937de84fd35a20f5dc96b53eff65ce9.jpg"/><Relationship Id="rId10" Type="http://schemas.openxmlformats.org/officeDocument/2006/relationships/image" Target="media/ebd8eaf1c8fedb5cf139056199464f48ec8d497b.jpg"/><Relationship Id="rId11" Type="http://schemas.openxmlformats.org/officeDocument/2006/relationships/image" Target="media/720110fba8c013e58c35432b98443f49374efc4d.jpg"/><Relationship Id="rId12" Type="http://schemas.openxmlformats.org/officeDocument/2006/relationships/image" Target="media/9c8d532085c1bc17f19b30d32df1d6918d0dea63.jpg"/><Relationship Id="rId13" Type="http://schemas.openxmlformats.org/officeDocument/2006/relationships/image" Target="media/49bd00a3e665d68ffd911c15e888871ec12ebff7.jpg"/><Relationship Id="rId14" Type="http://schemas.openxmlformats.org/officeDocument/2006/relationships/image" Target="media/94f493378f13767bee4e662b3a1d1b2baac071a8.jpg"/><Relationship Id="rId15" Type="http://schemas.openxmlformats.org/officeDocument/2006/relationships/image" Target="media/3739259b7b2c4a8cf3a88f19f1a3869cbefc81cc.jpg"/><Relationship Id="rId16" Type="http://schemas.openxmlformats.org/officeDocument/2006/relationships/image" Target="media/e7f19318a75179c84cf1014e479b178c8ccc6945.jpg"/><Relationship Id="rId17" Type="http://schemas.openxmlformats.org/officeDocument/2006/relationships/image" Target="media/c05ad548d7627a625e1d8b7814c015941f12e09e.jpg"/><Relationship Id="rId18" Type="http://schemas.openxmlformats.org/officeDocument/2006/relationships/image" Target="media/cef0f2875f6d32ae4bd168333007a295efffdb98.jpg"/><Relationship Id="rId19" Type="http://schemas.openxmlformats.org/officeDocument/2006/relationships/image" Target="media/c958b4bd4de4ec0528e65e8f80989d3e3897b27e.jpg"/><Relationship Id="rId20" Type="http://schemas.openxmlformats.org/officeDocument/2006/relationships/image" Target="media/72aa12b21bd2828c2d81747c94f0f8e111e45ff5.jp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2026-04-02T19:05:11.730Z</dcterms:created>
  <dcterms:modified xsi:type="dcterms:W3CDTF">2026-04-02T19:05:11.731Z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