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38" w:val="clear"/>
            <w:tcMar>
              <w:top w:type="dxa" w:w="400"/>
              <w:left w:type="dxa" w:w="360"/>
              <w:bottom w:type="dxa" w:w="60"/>
              <w:right w:type="dxa" w:w="3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E05206"/>
                <w:sz w:val="20"/>
                <w:szCs w:val="20"/>
              </w:rPr>
              <w:t xml:space="preserve">ТЕХНИЧЕСКИЙ ПАСПОРТ ИЗДЕЛИЯ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ASV-11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7FA4C0"/>
                <w:sz w:val="24"/>
                <w:szCs w:val="24"/>
              </w:rPr>
              <w:t xml:space="preserve">Автономный надводный катамаран ледового класса</w:t>
            </w:r>
          </w:p>
          <w:p>
            <w:pPr>
              <w:spacing w:before="0" w:after="400"/>
            </w:pPr>
            <w:r>
              <w:rPr>
                <w:rFonts w:ascii="Arial" w:cs="Arial" w:eastAsia="Arial" w:hAnsi="Arial"/>
                <w:color w:val="4A6A80"/>
                <w:sz w:val="19"/>
                <w:szCs w:val="19"/>
              </w:rPr>
              <w:t xml:space="preserve">Labcluster  ·  labcluster.ru  ·  2026</w:t>
            </w:r>
          </w:p>
        </w:tc>
      </w:tr>
    </w:tbl>
    <w:p>
      <w:pPr>
        <w:spacing w:before="0"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8FC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05206"/>
                <w:sz w:val="40"/>
                <w:szCs w:val="40"/>
              </w:rPr>
              <w:t xml:space="preserve">11 м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A6370"/>
                <w:sz w:val="18"/>
                <w:szCs w:val="18"/>
              </w:rPr>
              <w:t xml:space="preserve">Длина</w:t>
            </w:r>
          </w:p>
        </w:tc>
        <w:tc>
          <w:tcPr>
            <w:tcW w:type="dxa" w:w="240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1F4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05206"/>
                <w:sz w:val="40"/>
                <w:szCs w:val="40"/>
              </w:rPr>
              <w:t xml:space="preserve">4.5 сут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A6370"/>
                <w:sz w:val="18"/>
                <w:szCs w:val="18"/>
              </w:rPr>
              <w:t xml:space="preserve">Автономность</w:t>
            </w:r>
          </w:p>
        </w:tc>
        <w:tc>
          <w:tcPr>
            <w:tcW w:type="dxa" w:w="240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2F8FC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05206"/>
                <w:sz w:val="40"/>
                <w:szCs w:val="40"/>
              </w:rPr>
              <w:t xml:space="preserve">ICE-10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A6370"/>
                <w:sz w:val="18"/>
                <w:szCs w:val="18"/>
              </w:rPr>
              <w:t xml:space="preserve">Ледовый класс</w:t>
            </w:r>
          </w:p>
        </w:tc>
        <w:tc>
          <w:tcPr>
            <w:tcW w:type="dxa" w:w="240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1F4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05206"/>
                <w:sz w:val="40"/>
                <w:szCs w:val="40"/>
              </w:rPr>
              <w:t xml:space="preserve">ISO 40′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A6370"/>
                <w:sz w:val="18"/>
                <w:szCs w:val="18"/>
              </w:rPr>
              <w:t xml:space="preserve">Контейнер</w:t>
            </w:r>
          </w:p>
        </w:tc>
      </w:tr>
    </w:tbl>
    <w:p>
      <w:pPr>
        <w:spacing w:before="0"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il" w:color="FFFFFF" w:sz="0"/>
              <w:left w:val="single" w:color="E05206" w:sz="20"/>
              <w:bottom w:val="nil" w:color="FFFFFF" w:sz="0"/>
              <w:right w:val="nil" w:color="FFFFFF" w:sz="0"/>
            </w:tcBorders>
            <w:shd w:fill="F2F8FC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Беспилотное надводное судно с алюминиевым корпусом и двойными азиподами для арктических и морских исследований. Разбирается на 3 части, помещается в три ISO 40′ контейнера и снижает стоимость морских миссий в 2–3 раза. Модульная кассетная система позволяет менять тип научного оборудования прямо в море, без захода в порт.</w:t>
            </w:r>
          </w:p>
        </w:tc>
      </w:tr>
    </w:tbl>
    <w:p>
      <w:pPr>
        <w:spacing w:before="0"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3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05206"/>
                <w:sz w:val="36"/>
                <w:szCs w:val="36"/>
              </w:rPr>
              <w:t xml:space="preserve">6 т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7FA4C0"/>
                <w:sz w:val="18"/>
                <w:szCs w:val="18"/>
              </w:rPr>
              <w:t xml:space="preserve">Полезная нагрузка</w:t>
            </w:r>
          </w:p>
        </w:tc>
        <w:tc>
          <w:tcPr>
            <w:tcW w:type="dxa" w:w="321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3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05206"/>
                <w:sz w:val="36"/>
                <w:szCs w:val="36"/>
              </w:rPr>
              <w:t xml:space="preserve">5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7FA4C0"/>
                <w:sz w:val="18"/>
                <w:szCs w:val="18"/>
              </w:rPr>
              <w:t xml:space="preserve">Типов сменных модулей</w:t>
            </w:r>
          </w:p>
        </w:tc>
        <w:tc>
          <w:tcPr>
            <w:tcW w:type="dxa" w:w="321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3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05206"/>
                <w:sz w:val="36"/>
                <w:szCs w:val="36"/>
              </w:rPr>
              <w:t xml:space="preserve">2–3×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7FA4C0"/>
                <w:sz w:val="18"/>
                <w:szCs w:val="18"/>
              </w:rPr>
              <w:t xml:space="preserve">Снижение стоимости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aps/>
          <w:color w:val="E05206"/>
          <w:sz w:val="18"/>
          <w:szCs w:val="18"/>
        </w:rPr>
        <w:t xml:space="preserve">ОБЩИЕ СВЕДЕНИЯ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1B2A38"/>
          <w:sz w:val="28"/>
          <w:szCs w:val="28"/>
        </w:rPr>
        <w:t xml:space="preserve">Идентификация </w:t>
      </w:r>
      <w:r>
        <w:rPr>
          <w:rFonts w:ascii="Arial" w:cs="Arial" w:eastAsia="Arial" w:hAnsi="Arial"/>
          <w:b/>
          <w:bCs/>
          <w:color w:val="E05206"/>
          <w:sz w:val="28"/>
          <w:szCs w:val="28"/>
        </w:rPr>
        <w:t xml:space="preserve">изделия</w:t>
      </w:r>
    </w:p>
    <w:p>
      <w:pPr>
        <w:pBdr>
          <w:bottom w:val="single" w:color="E05206" w:sz="12"/>
        </w:pBdr>
        <w:spacing w:before="0" w:after="2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370"/>
                <w:sz w:val="20"/>
                <w:szCs w:val="20"/>
              </w:rPr>
              <w:t xml:space="preserve">Наименование изделия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Автономный надводный катамаран ледового класса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370"/>
                <w:sz w:val="20"/>
                <w:szCs w:val="20"/>
              </w:rPr>
              <w:t xml:space="preserve">Обозначение / артикул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ASV-11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370"/>
                <w:sz w:val="20"/>
                <w:szCs w:val="20"/>
              </w:rPr>
              <w:t xml:space="preserve">Разработчик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Нейра Филипп Георгиевич, Labcluster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370"/>
                <w:sz w:val="20"/>
                <w:szCs w:val="20"/>
              </w:rPr>
              <w:t xml:space="preserve">Год разработки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370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Проведение морских научно-исследовательских и инженерных операций в безэкипажном режиме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370"/>
                <w:sz w:val="20"/>
                <w:szCs w:val="20"/>
              </w:rPr>
              <w:t xml:space="preserve">Область применения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Арктические воды, шельф, открытый океан — гидрология, геохимия, геофизика, ROV-операции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370"/>
                <w:sz w:val="20"/>
                <w:szCs w:val="20"/>
              </w:rPr>
              <w:t xml:space="preserve">Ледовый класс (РС)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ICE-10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370"/>
                <w:sz w:val="20"/>
                <w:szCs w:val="20"/>
              </w:rPr>
              <w:t xml:space="preserve">Режим эксплуатации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Полностью автономный (без экипажа на борту), дистанционное управление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370"/>
                <w:sz w:val="20"/>
                <w:szCs w:val="20"/>
              </w:rPr>
              <w:t xml:space="preserve">Логистика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Разборка на 3 части, транспортировка в ISO 40′ или 40′ контейнере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370"/>
                <w:sz w:val="20"/>
                <w:szCs w:val="20"/>
              </w:rPr>
              <w:t xml:space="preserve">Статус документа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Паспорт изделия · 2026 · Конфиденциально</w:t>
            </w:r>
          </w:p>
        </w:tc>
      </w:tr>
    </w:tbl>
    <w:p>
      <w:pPr>
        <w:spacing w:before="0" w:after="24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aps/>
          <w:color w:val="E05206"/>
          <w:sz w:val="18"/>
          <w:szCs w:val="18"/>
        </w:rPr>
        <w:t xml:space="preserve">ТЕХНИЧЕСКИЕ ХАРАКТЕРИСТИКИ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1B2A38"/>
          <w:sz w:val="28"/>
          <w:szCs w:val="28"/>
        </w:rPr>
        <w:t xml:space="preserve">Ключевые </w:t>
      </w:r>
      <w:r>
        <w:rPr>
          <w:rFonts w:ascii="Arial" w:cs="Arial" w:eastAsia="Arial" w:hAnsi="Arial"/>
          <w:b/>
          <w:bCs/>
          <w:color w:val="E05206"/>
          <w:sz w:val="28"/>
          <w:szCs w:val="28"/>
        </w:rPr>
        <w:t xml:space="preserve">ТТХ</w:t>
      </w:r>
    </w:p>
    <w:p>
      <w:pPr>
        <w:pBdr>
          <w:bottom w:val="single" w:color="E05206" w:sz="12"/>
        </w:pBdr>
        <w:spacing w:before="0" w:after="220"/>
      </w:pPr>
    </w:p>
    <w:p>
      <w:pPr>
        <w:spacing w:before="0"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c>
          <w:tcPr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КОРПУС И ГЕОМЕТРИЯ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Тип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Катамаран, алюминиевый сплав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Длина наибольшая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11 м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Ширина (катамаран)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 проекту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Ледовый класс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6FA8"/>
                <w:sz w:val="20"/>
                <w:szCs w:val="20"/>
              </w:rPr>
              <w:t xml:space="preserve">ICE-10 (РМРС) — шторм до 4 баллов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Корпусной материал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Алюминиевый сплав — повышенная коррозионная стойкость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Компоновка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Разборная на 3 части; монтаж в порту или у борта носителя</w:t>
            </w:r>
          </w:p>
        </w:tc>
      </w:tr>
      <w:tr>
        <w:tc>
          <w:tcPr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ДВИЖЕНИЕ И ЭНЕРГЕТИКА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Тип движителя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× азиподные колонки с поворотом 360°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Манёвренность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Разворот на месте, движение лагом, нулевой радиус циркуляции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Генераторы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 × 200 кВт дизель-генератора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Буферные АКБ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250 кВт·ч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Автономность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E05206"/>
                <w:sz w:val="20"/>
                <w:szCs w:val="20"/>
              </w:rPr>
              <w:t xml:space="preserve">До 4.5 суток</w:t>
            </w:r>
          </w:p>
        </w:tc>
      </w:tr>
      <w:tr>
        <w:tc>
          <w:tcPr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ПОЛЕЗНАЯ НАГРУЗКА И ОБОРУДОВАНИЕ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Полезная нагрузка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 т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Рабочая палуба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20.9 м²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Лебёдка главная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 кг — подъём научного оборудования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Лебёдка вспомогат.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 кг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Сменные кассеты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типов: Геохимия · Гидрология · Океанологический · ROV · Буксируемые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Интерфейс кассеты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Гнездо 1200×800 мм, масса ≤300 кг, авто-разъём 10 кВт + Ethernet 1 Гбит/с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ЭМ-площадка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300×300 мм — захват краном без ручной стропки</w:t>
            </w:r>
          </w:p>
        </w:tc>
      </w:tr>
      <w:tr>
        <w:tc>
          <w:tcPr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НАВИГАЦИЯ И УПРАВЛЕНИЕ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Позиционирование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RTK GPS + INS (инерциальная) + LBL / USBL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Точность позиц.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До 10 см при RTK-коррекции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Связь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Спутниковый канал + УКВ + Wi-Fi (в зоне покрытия)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Управление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Дистанционное (оператор на носителе) / полностью автономный маршрут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Режим работы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24/7 без участия экипажа на борту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aps/>
          <w:color w:val="E05206"/>
          <w:sz w:val="18"/>
          <w:szCs w:val="18"/>
        </w:rPr>
        <w:t xml:space="preserve">МОДУЛЬНАЯ АРХИТЕКТУРА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1B2A38"/>
          <w:sz w:val="28"/>
          <w:szCs w:val="28"/>
        </w:rPr>
        <w:t xml:space="preserve">5 типов </w:t>
      </w:r>
      <w:r>
        <w:rPr>
          <w:rFonts w:ascii="Arial" w:cs="Arial" w:eastAsia="Arial" w:hAnsi="Arial"/>
          <w:b/>
          <w:bCs/>
          <w:color w:val="E05206"/>
          <w:sz w:val="28"/>
          <w:szCs w:val="28"/>
        </w:rPr>
        <w:t xml:space="preserve">сменного оборудования</w:t>
      </w:r>
    </w:p>
    <w:p>
      <w:pPr>
        <w:pBdr>
          <w:bottom w:val="single" w:color="E05206" w:sz="12"/>
        </w:pBdr>
        <w:spacing w:before="0" w:after="220"/>
      </w:pPr>
    </w:p>
    <w:p>
      <w:pPr>
        <w:spacing w:before="0" w:after="200"/>
        <w:jc w:val="left"/>
      </w:pPr>
      <w:r>
        <w:rPr>
          <w:rFonts w:ascii="Arial" w:cs="Arial" w:eastAsia="Arial" w:hAnsi="Arial"/>
          <w:color w:val="5A6370"/>
          <w:sz w:val="20"/>
          <w:szCs w:val="20"/>
        </w:rPr>
        <w:t xml:space="preserve">Каждый модуль — самодостаточный блок с собственной лебёдкой, питанием и механикой. Смена происходит краном с борта судна-носителя, без захода в порт, при волнении до 3 баллов.</w:t>
      </w:r>
    </w:p>
    <w:tbl>
      <w:tblPr>
        <w:tblW w:type="dxa" w:w="9638"/>
        <w:tblBorders>
          <w:top w:val="single" w:color="E5AE00" w:sz="16"/>
          <w:left w:val="nil" w:color="FFFFFF" w:sz="0"/>
          <w:bottom w:val="single" w:color="DDE3EA" w:sz="4"/>
          <w:right w:val="nil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5AE00" w:val="clea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9518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100"/>
              <w:left w:type="dxa" w:w="200"/>
              <w:bottom w:type="dxa" w:w="12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2A38"/>
                <w:sz w:val="22"/>
                <w:szCs w:val="22"/>
              </w:rPr>
              <w:t xml:space="preserve">Геохимия / Грунт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Автоматическая система грунтового опробования с магазинным питанием. Серийный отбор колонковых проб и донный захват с точной координатной привязкой.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6FA8"/>
                <w:sz w:val="18"/>
                <w:szCs w:val="18"/>
              </w:rPr>
              <w:t>12 грунтовых трубок  ·  Авто-подача  ·  Серийный отбор  ·  Координатная привязка</w:t>
            </w:r>
          </w:p>
        </w:tc>
      </w:tr>
    </w:tbl>
    <w:p>
      <w:pPr>
        <w:spacing w:before="0" w:after="100"/>
      </w:pPr>
    </w:p>
    <w:tbl>
      <w:tblPr>
        <w:tblW w:type="dxa" w:w="9638"/>
        <w:tblBorders>
          <w:top w:val="single" w:color="1B6FA8" w:sz="16"/>
          <w:left w:val="nil" w:color="FFFFFF" w:sz="0"/>
          <w:bottom w:val="single" w:color="DDE3EA" w:sz="4"/>
          <w:right w:val="nil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6FA8" w:val="clea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9518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100"/>
              <w:left w:type="dxa" w:w="200"/>
              <w:bottom w:type="dxa" w:w="12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2A38"/>
                <w:sz w:val="22"/>
                <w:szCs w:val="22"/>
              </w:rPr>
              <w:t xml:space="preserve">Гидрология (CTD + батометры)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Зондирование водной толщи CTD-датчиком и серийный отбор проб розеточными батометрами Нискина. Синхронизация закрытия по давлению.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6FA8"/>
                <w:sz w:val="18"/>
                <w:szCs w:val="18"/>
              </w:rPr>
              <w:t>CTD-зонд  ·  36 батометров  ·  Розетка Нискина  ·  T / S / O₂ / мутность</w:t>
            </w:r>
          </w:p>
        </w:tc>
      </w:tr>
    </w:tbl>
    <w:p>
      <w:pPr>
        <w:spacing w:before="0" w:after="100"/>
      </w:pPr>
    </w:p>
    <w:tbl>
      <w:tblPr>
        <w:tblW w:type="dxa" w:w="9638"/>
        <w:tblBorders>
          <w:top w:val="single" w:color="4a6070" w:sz="16"/>
          <w:left w:val="nil" w:color="FFFFFF" w:sz="0"/>
          <w:bottom w:val="single" w:color="DDE3EA" w:sz="4"/>
          <w:right w:val="nil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a6070" w:val="clea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9518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100"/>
              <w:left w:type="dxa" w:w="200"/>
              <w:bottom w:type="dxa" w:w="12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2A38"/>
                <w:sz w:val="22"/>
                <w:szCs w:val="22"/>
              </w:rPr>
              <w:t xml:space="preserve">Океанологический / донные станции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Установка и подъём автономных донных станций. О₂-патрон с таймером при срабатывании выпускает на поверхность буй со световой и радиолокационной маркировкой — нулевая потеря станции при подъёме.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6FA8"/>
                <w:sz w:val="18"/>
                <w:szCs w:val="18"/>
              </w:rPr>
              <w:t>4–6 станций  ·  O₂-патрон + таймер  ·  Буй — свет + радио  ·  Acoustic release  ·  LBL-сеть  ·  Нулевая потеря</w:t>
            </w:r>
          </w:p>
        </w:tc>
      </w:tr>
    </w:tbl>
    <w:p>
      <w:pPr>
        <w:spacing w:before="0" w:after="100"/>
      </w:pPr>
    </w:p>
    <w:tbl>
      <w:tblPr>
        <w:tblW w:type="dxa" w:w="9638"/>
        <w:tblBorders>
          <w:top w:val="single" w:color="E05206" w:sz="16"/>
          <w:left w:val="nil" w:color="FFFFFF" w:sz="0"/>
          <w:bottom w:val="single" w:color="DDE3EA" w:sz="4"/>
          <w:right w:val="nil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05206" w:val="clea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9518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100"/>
              <w:left w:type="dxa" w:w="200"/>
              <w:bottom w:type="dxa" w:w="12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2A38"/>
                <w:sz w:val="22"/>
                <w:szCs w:val="22"/>
              </w:rPr>
              <w:t xml:space="preserve">ROV / ТНПА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Спуск и подъём ROV массой до 200 кг через раздвижной пандус кассеты. ASV-11 выступает ретранслятором связи и навигационной привязкой для аппарата.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6FA8"/>
                <w:sz w:val="18"/>
                <w:szCs w:val="18"/>
              </w:rPr>
              <w:t>ROV до 200 кг  ·  Раздвижной пандус  ·  Ретранслятор  ·  USBL-привязка</w:t>
            </w:r>
          </w:p>
        </w:tc>
      </w:tr>
    </w:tbl>
    <w:p>
      <w:pPr>
        <w:spacing w:before="0" w:after="100"/>
      </w:pPr>
    </w:p>
    <w:tbl>
      <w:tblPr>
        <w:tblW w:type="dxa" w:w="9638"/>
        <w:tblBorders>
          <w:top w:val="single" w:color="148080" w:sz="16"/>
          <w:left w:val="nil" w:color="FFFFFF" w:sz="0"/>
          <w:bottom w:val="single" w:color="DDE3EA" w:sz="4"/>
          <w:right w:val="nil" w:color="FFFFFF" w:sz="0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48080" w:val="clea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9518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100"/>
              <w:left w:type="dxa" w:w="200"/>
              <w:bottom w:type="dxa" w:w="12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2A38"/>
                <w:sz w:val="22"/>
                <w:szCs w:val="22"/>
              </w:rPr>
              <w:t xml:space="preserve">Буксируемые системы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Буксировка гидроакустических и геофизических систем: гидролокатор бокового обзора (ГБО), субдонный профилограф, магнитометр, сейсмическая коса.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6FA8"/>
                <w:sz w:val="18"/>
                <w:szCs w:val="18"/>
              </w:rPr>
              <w:t>ГБО  ·  Субдонный профилограф  ·  Магнитометр  ·  Сейсмическая коса</w:t>
            </w:r>
          </w:p>
        </w:tc>
      </w:tr>
    </w:tbl>
    <w:p>
      <w:pPr>
        <w:spacing w:before="0" w:after="24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aps/>
          <w:color w:val="E05206"/>
          <w:sz w:val="18"/>
          <w:szCs w:val="18"/>
        </w:rPr>
        <w:t xml:space="preserve">ИНТЕРФЕЙС КАССЕТЫ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1B2A38"/>
          <w:sz w:val="28"/>
          <w:szCs w:val="28"/>
        </w:rPr>
        <w:t xml:space="preserve">Унифицированный </w:t>
      </w:r>
      <w:r>
        <w:rPr>
          <w:rFonts w:ascii="Arial" w:cs="Arial" w:eastAsia="Arial" w:hAnsi="Arial"/>
          <w:b/>
          <w:bCs/>
          <w:color w:val="E05206"/>
          <w:sz w:val="28"/>
          <w:szCs w:val="28"/>
        </w:rPr>
        <w:t xml:space="preserve">авто-разъём</w:t>
      </w:r>
    </w:p>
    <w:p>
      <w:pPr>
        <w:pBdr>
          <w:bottom w:val="single" w:color="E05206" w:sz="12"/>
        </w:pBdr>
        <w:spacing w:before="0" w:after="2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370"/>
                <w:sz w:val="20"/>
                <w:szCs w:val="20"/>
              </w:rPr>
              <w:t xml:space="preserve">Гнездо крепления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Прямоугольник 1200 × 800 мм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370"/>
                <w:sz w:val="20"/>
                <w:szCs w:val="20"/>
              </w:rPr>
              <w:t xml:space="preserve">Направляющие фиксаторы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конических — точная установка при шторме до 3 баллов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370"/>
                <w:sz w:val="20"/>
                <w:szCs w:val="20"/>
              </w:rPr>
              <w:t xml:space="preserve">Максимальная масса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≤ 300 кг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370"/>
                <w:sz w:val="20"/>
                <w:szCs w:val="20"/>
              </w:rPr>
              <w:t xml:space="preserve">Питание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кВт DC/AC — авто-разъём при посадке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370"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Ethernet 1 Гбит/с + оптоволокно (видео HD, гидроакустика)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370"/>
                <w:sz w:val="20"/>
                <w:szCs w:val="20"/>
              </w:rPr>
              <w:t xml:space="preserve">ЭМ-площадка кран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300 × 300 мм — захват без ручной стропки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370"/>
                <w:sz w:val="20"/>
                <w:szCs w:val="20"/>
              </w:rPr>
              <w:t xml:space="preserve">Доп. разъёмы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Подача воды, сжатого воздуха — опционально</w:t>
            </w:r>
          </w:p>
        </w:tc>
      </w:tr>
      <w:tr>
        <w:tc>
          <w:tcPr>
            <w:tcW w:type="dxa" w:w="38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370"/>
                <w:sz w:val="20"/>
                <w:szCs w:val="20"/>
              </w:rPr>
              <w:t xml:space="preserve">Время смены кассеты</w:t>
            </w:r>
          </w:p>
        </w:tc>
        <w:tc>
          <w:tcPr>
            <w:tcW w:type="dxa" w:w="58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Минуты — без захода в порт, с борта носителя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aps/>
          <w:color w:val="E05206"/>
          <w:sz w:val="18"/>
          <w:szCs w:val="18"/>
        </w:rPr>
        <w:t xml:space="preserve">ЛОГИСТИКА И ТРАНСПОРТИРОВКА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1B2A38"/>
          <w:sz w:val="28"/>
          <w:szCs w:val="28"/>
        </w:rPr>
        <w:t xml:space="preserve">Контейнерная </w:t>
      </w:r>
      <w:r>
        <w:rPr>
          <w:rFonts w:ascii="Arial" w:cs="Arial" w:eastAsia="Arial" w:hAnsi="Arial"/>
          <w:b/>
          <w:bCs/>
          <w:color w:val="E05206"/>
          <w:sz w:val="28"/>
          <w:szCs w:val="28"/>
        </w:rPr>
        <w:t xml:space="preserve">архитектура</w:t>
      </w:r>
    </w:p>
    <w:p>
      <w:pPr>
        <w:pBdr>
          <w:bottom w:val="single" w:color="E05206" w:sz="12"/>
        </w:pBdr>
        <w:spacing w:before="0" w:after="2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E05206" w:sz="12"/>
              <w:left w:val="nil" w:color="FFFFFF" w:sz="0"/>
              <w:bottom w:val="nil" w:color="FFFFFF" w:sz="0"/>
              <w:right w:val="nil" w:color="FFFFFF" w:sz="0"/>
            </w:tcBorders>
            <w:shd w:fill="F2F8F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05206"/>
                <w:sz w:val="32"/>
                <w:szCs w:val="32"/>
              </w:rPr>
              <w:t xml:space="preserve">1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B2A38"/>
                <w:sz w:val="22"/>
                <w:szCs w:val="22"/>
              </w:rPr>
              <w:t xml:space="preserve">Центральный модуль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Силовая часть, палуба, полезная нагрузка</w:t>
            </w:r>
          </w:p>
        </w:tc>
        <w:tc>
          <w:tcPr>
            <w:tcW w:type="dxa" w:w="3212"/>
            <w:tcBorders>
              <w:top w:val="single" w:color="E05206" w:sz="12"/>
              <w:left w:val="nil" w:color="FFFFFF" w:sz="0"/>
              <w:bottom w:val="nil" w:color="FFFFFF" w:sz="0"/>
              <w:right w:val="nil" w:color="FFFFFF" w:sz="0"/>
            </w:tcBorders>
            <w:shd w:fill="F2F8F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05206"/>
                <w:sz w:val="32"/>
                <w:szCs w:val="32"/>
              </w:rPr>
              <w:t xml:space="preserve">2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B2A38"/>
                <w:sz w:val="22"/>
                <w:szCs w:val="22"/>
              </w:rPr>
              <w:t xml:space="preserve">Боковые корпуса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Катамаранные поплавки, снимаются</w:t>
            </w:r>
          </w:p>
        </w:tc>
        <w:tc>
          <w:tcPr>
            <w:tcW w:type="dxa" w:w="3212"/>
            <w:tcBorders>
              <w:top w:val="single" w:color="E05206" w:sz="12"/>
              <w:left w:val="nil" w:color="FFFFFF" w:sz="0"/>
              <w:bottom w:val="nil" w:color="FFFFFF" w:sz="0"/>
              <w:right w:val="nil" w:color="FFFFFF" w:sz="0"/>
            </w:tcBorders>
            <w:shd w:fill="F2F8F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05206"/>
                <w:sz w:val="32"/>
                <w:szCs w:val="32"/>
              </w:rPr>
              <w:t xml:space="preserve">3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B2A38"/>
                <w:sz w:val="22"/>
                <w:szCs w:val="22"/>
              </w:rPr>
              <w:t xml:space="preserve">Контейнерная отправка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Стандартная морская/сухопутная логистика</w:t>
            </w:r>
          </w:p>
        </w:tc>
      </w:tr>
    </w:tbl>
    <w:p>
      <w:pPr>
        <w:spacing w:before="0" w:after="2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aps/>
          <w:color w:val="E05206"/>
          <w:sz w:val="18"/>
          <w:szCs w:val="18"/>
        </w:rPr>
        <w:t xml:space="preserve">ДОРОЖНАЯ КАРТА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1B2A38"/>
          <w:sz w:val="28"/>
          <w:szCs w:val="28"/>
        </w:rPr>
        <w:t xml:space="preserve">Этапы </w:t>
      </w:r>
      <w:r>
        <w:rPr>
          <w:rFonts w:ascii="Arial" w:cs="Arial" w:eastAsia="Arial" w:hAnsi="Arial"/>
          <w:b/>
          <w:bCs/>
          <w:color w:val="E05206"/>
          <w:sz w:val="28"/>
          <w:szCs w:val="28"/>
        </w:rPr>
        <w:t xml:space="preserve">реализации</w:t>
      </w:r>
    </w:p>
    <w:p>
      <w:pPr>
        <w:pBdr>
          <w:bottom w:val="single" w:color="E05206" w:sz="12"/>
        </w:pBdr>
        <w:spacing w:before="0" w:after="2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600"/>
        <w:gridCol w:w="4738"/>
      </w:tblGrid>
      <w:tr>
        <w:tc>
          <w:tcPr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B2A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B2A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B2A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1B2A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Состав работ</w:t>
            </w:r>
          </w:p>
        </w:tc>
      </w:tr>
      <w:tr>
        <w:tc>
          <w:tcPr>
            <w:tcW w:type="dxa" w:w="7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05206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Проектирование</w:t>
            </w:r>
          </w:p>
        </w:tc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E05206"/>
                <w:sz w:val="20"/>
                <w:szCs w:val="20"/>
              </w:rPr>
              <w:t xml:space="preserve">3–4 мес.</w:t>
            </w:r>
          </w:p>
        </w:tc>
        <w:tc>
          <w:tcPr>
            <w:tcW w:type="dxa" w:w="47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Рабочая КД, 3D-модель, ТЭО, согласование РМРС</w:t>
            </w:r>
          </w:p>
        </w:tc>
      </w:tr>
      <w:tr>
        <w:tc>
          <w:tcPr>
            <w:tcW w:type="dxa" w:w="7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05206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Постройка прототипа</w:t>
            </w:r>
          </w:p>
        </w:tc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E05206"/>
                <w:sz w:val="20"/>
                <w:szCs w:val="20"/>
              </w:rPr>
              <w:t xml:space="preserve">4–6 мес.</w:t>
            </w:r>
          </w:p>
        </w:tc>
        <w:tc>
          <w:tcPr>
            <w:tcW w:type="dxa" w:w="47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Корпус, азиподы, силовая установка, лебёдка, кассета</w:t>
            </w:r>
          </w:p>
        </w:tc>
      </w:tr>
      <w:tr>
        <w:tc>
          <w:tcPr>
            <w:tcW w:type="dxa" w:w="7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05206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Испытания и сертификация</w:t>
            </w:r>
          </w:p>
        </w:tc>
        <w:tc>
          <w:tcPr>
            <w:tcW w:type="dxa" w:w="1600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E05206"/>
                <w:sz w:val="20"/>
                <w:szCs w:val="20"/>
              </w:rPr>
              <w:t xml:space="preserve">2–3 мес.</w:t>
            </w:r>
          </w:p>
        </w:tc>
        <w:tc>
          <w:tcPr>
            <w:tcW w:type="dxa" w:w="4738"/>
            <w:tcBorders>
              <w:top w:val="single" w:color="DDE3EA" w:sz="4"/>
              <w:left w:val="single" w:color="DDE3EA" w:sz="4"/>
              <w:bottom w:val="single" w:color="DDE3EA" w:sz="4"/>
              <w:right w:val="single" w:color="DDE3EA" w:sz="4"/>
            </w:tcBorders>
            <w:shd w:fill="F2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Ходовые тесты, автономный режим, контейнерная погрузка</w:t>
            </w:r>
          </w:p>
        </w:tc>
      </w:tr>
      <w:tr>
        <w:tc>
          <w:tcPr>
            <w:gridSpan w:val="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3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7FA4C0"/>
                <w:sz w:val="20"/>
                <w:szCs w:val="20"/>
              </w:rPr>
              <w:t xml:space="preserve">Итого до ходовых тестов:  </w:t>
            </w:r>
            <w:r>
              <w:rPr>
                <w:rFonts w:ascii="Arial" w:cs="Arial" w:eastAsia="Arial" w:hAnsi="Arial"/>
                <w:b/>
                <w:bCs/>
                <w:color w:val="E05206"/>
                <w:sz w:val="24"/>
                <w:szCs w:val="24"/>
              </w:rPr>
              <w:t xml:space="preserve">10–12 месяцев</w:t>
            </w:r>
          </w:p>
        </w:tc>
      </w:tr>
    </w:tbl>
    <w:p>
      <w:pPr>
        <w:spacing w:before="0" w:after="2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aps/>
          <w:color w:val="E05206"/>
          <w:sz w:val="18"/>
          <w:szCs w:val="18"/>
        </w:rPr>
        <w:t xml:space="preserve">КОНТАКТЫ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1B2A38"/>
          <w:sz w:val="28"/>
          <w:szCs w:val="28"/>
        </w:rPr>
        <w:t xml:space="preserve">Разработчик </w:t>
      </w:r>
      <w:r>
        <w:rPr>
          <w:rFonts w:ascii="Arial" w:cs="Arial" w:eastAsia="Arial" w:hAnsi="Arial"/>
          <w:b/>
          <w:bCs/>
          <w:color w:val="E05206"/>
          <w:sz w:val="28"/>
          <w:szCs w:val="28"/>
        </w:rPr>
        <w:t xml:space="preserve">и команда</w:t>
      </w:r>
    </w:p>
    <w:p>
      <w:pPr>
        <w:pBdr>
          <w:bottom w:val="single" w:color="E05206" w:sz="12"/>
        </w:pBdr>
        <w:spacing w:before="0" w:after="2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E05206" w:sz="12"/>
              <w:left w:val="nil" w:color="FFFFFF" w:sz="0"/>
              <w:bottom w:val="nil" w:color="FFFFFF" w:sz="0"/>
              <w:right w:val="nil" w:color="FFFFFF" w:sz="0"/>
            </w:tcBorders>
            <w:shd w:fill="F2F8FC" w:val="clear"/>
            <w:tcMar>
              <w:top w:type="dxa" w:w="200"/>
              <w:left w:type="dxa" w:w="220"/>
              <w:bottom w:type="dxa" w:w="220"/>
              <w:right w:type="dxa" w:w="22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B2A38"/>
                <w:sz w:val="28"/>
                <w:szCs w:val="28"/>
              </w:rPr>
              <w:t xml:space="preserve">Labcluster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Нейра Филипп Георгиевич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Разработчик, руководитель проекта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Email:  </w:t>
            </w:r>
            <w:r>
              <w:rPr>
                <w:rFonts w:ascii="Arial" w:cs="Arial" w:eastAsia="Arial" w:hAnsi="Arial"/>
                <w:b/>
                <w:bCs/>
                <w:color w:val="1B6FA8"/>
                <w:sz w:val="20"/>
                <w:szCs w:val="20"/>
              </w:rPr>
              <w:t xml:space="preserve">neira@labcluster.ru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Тел: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+7 911 299-95-86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A6370"/>
                <w:sz w:val="20"/>
                <w:szCs w:val="20"/>
              </w:rPr>
              <w:t xml:space="preserve">Сайт:  </w:t>
            </w:r>
            <w:r>
              <w:rPr>
                <w:rFonts w:ascii="Arial" w:cs="Arial" w:eastAsia="Arial" w:hAnsi="Arial"/>
                <w:b/>
                <w:bCs/>
                <w:color w:val="1B6FA8"/>
                <w:sz w:val="20"/>
                <w:szCs w:val="20"/>
              </w:rPr>
              <w:t xml:space="preserve">labcluster.ru</w:t>
            </w:r>
          </w:p>
        </w:tc>
        <w:tc>
          <w:tcPr>
            <w:tcW w:type="dxa" w:w="4819"/>
            <w:tcBorders>
              <w:top w:val="single" w:color="E05206" w:sz="12"/>
              <w:left w:val="nil" w:color="FFFFFF" w:sz="0"/>
              <w:bottom w:val="nil" w:color="FFFFFF" w:sz="0"/>
              <w:right w:val="nil" w:color="FFFFFF" w:sz="0"/>
            </w:tcBorders>
            <w:shd w:fill="1B2A38" w:val="clear"/>
            <w:tcMar>
              <w:top w:type="dxa" w:w="200"/>
              <w:left w:type="dxa" w:w="220"/>
              <w:bottom w:type="dxa" w:w="220"/>
              <w:right w:type="dxa" w:w="22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Для инвесторов и партнёров: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0520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C8D8E4"/>
                <w:sz w:val="20"/>
                <w:szCs w:val="20"/>
              </w:rPr>
              <w:t xml:space="preserve">Полный пакет конструкторской документации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0520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C8D8E4"/>
                <w:sz w:val="20"/>
                <w:szCs w:val="20"/>
              </w:rPr>
              <w:t xml:space="preserve">Технико-экономическое обоснование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0520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C8D8E4"/>
                <w:sz w:val="20"/>
                <w:szCs w:val="20"/>
              </w:rPr>
              <w:t xml:space="preserve">Финансовая модель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0520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C8D8E4"/>
                <w:sz w:val="20"/>
                <w:szCs w:val="20"/>
              </w:rPr>
              <w:t xml:space="preserve">3D-модель и рендеры изделия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0520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C8D8E4"/>
                <w:sz w:val="20"/>
                <w:szCs w:val="20"/>
              </w:rPr>
              <w:t xml:space="preserve">Демонстрация системы управления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EA" w:sz="6"/>
      </w:pBdr>
      <w:spacing w:before="100" w:after="0"/>
      <w:jc w:val="right"/>
    </w:pPr>
    <w:r>
      <w:rPr>
        <w:rFonts w:ascii="Arial" w:cs="Arial" w:eastAsia="Arial" w:hAnsi="Arial"/>
        <w:color w:val="5A6370"/>
        <w:sz w:val="17"/>
        <w:szCs w:val="17"/>
      </w:rPr>
      <w:t xml:space="preserve">Страница </w:t>
    </w:r>
    <w:r>
      <w:rPr>
        <w:rFonts w:ascii="Arial" w:cs="Arial" w:eastAsia="Arial" w:hAnsi="Arial"/>
        <w:color w:val="5A637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370"/>
        <w:sz w:val="17"/>
        <w:szCs w:val="17"/>
      </w:rPr>
      <w:t xml:space="preserve">  ·  © 2026 Туманов Иван Сергеевич · Конфиденциально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A" w:sz="6"/>
      </w:pBdr>
      <w:spacing w:before="0" w:after="120"/>
      <w:jc w:val="right"/>
    </w:pPr>
    <w:r>
      <w:rPr>
        <w:rFonts w:ascii="Arial" w:cs="Arial" w:eastAsia="Arial" w:hAnsi="Arial"/>
        <w:color w:val="5A6370"/>
        <w:sz w:val="17"/>
        <w:szCs w:val="17"/>
      </w:rPr>
      <w:t xml:space="preserve">ASV-11  ·  Технический паспорт изделия  ·  WestSeal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
<Relationships xmlns="http://schemas.openxmlformats.org/package/2006/relationships"/>
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notes" Target="footnotes.xml"/>
  <Relationship Id="rId4" Type="http://schemas.openxmlformats.org/officeDocument/2006/relationships/settings" Target="settings.xml"/>
  <Relationship Id="rId5" Type="http://schemas.openxmlformats.org/officeDocument/2006/relationships/comments" Target="comments.xml"/>
  <Relationship Id="rId6" Type="http://schemas.openxmlformats.org/officeDocument/2006/relationships/header" Target="header1.xml"/>
  <Relationship Id="rId7" Type="http://schemas.openxmlformats.org/officeDocument/2006/relationships/footer" Target="footer1.xml"/>
  <Relationship Id="rId8" Type="http://schemas.openxmlformats.org/officeDocument/2006/relationships/fontTable" Target="fontTable.xml"/>
</Relationships>

</file>

<file path=word/_rels/fontTable.xml.rels><?xml version="1.0" encoding="utf-8"?>
<Relationships xmlns="http://schemas.openxmlformats.org/package/2006/relationships"/>

</file>

<file path=word/_rels/footer1.xml.rels><?xml version="1.0" encoding="utf-8"?>
<Relationships xmlns="http://schemas.openxmlformats.org/package/2006/relationships"/>

</file>

<file path=word/_rels/footnotes.xml.rels><?xml version="1.0" encoding="utf-8"?>
<Relationships xmlns="http://schemas.openxmlformats.org/package/2006/relationships"/>

</file>

<file path=word/_rels/header1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2026-03-09T14:27:28.972Z</dcterms:created>
  <dcterms:modified xsi:type="dcterms:W3CDTF">2026-03-09T14:27:28.972Z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