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</w:pPr>
    </w:p>
    <w:p>
      <w:pPr>
        <w:spacing w:after="60"/>
      </w:pPr>
      <w:r>
        <w:rPr>
          <w:rFonts w:ascii="Arial" w:cs="Arial" w:eastAsia="Arial" w:hAnsi="Arial"/>
          <w:color w:val="5A6774"/>
          <w:sz w:val="28"/>
          <w:szCs w:val="28"/>
        </w:rPr>
        <w:t xml:space="preserve">Multi-System Vessel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E05206"/>
          <w:sz w:val="72"/>
          <w:szCs w:val="72"/>
        </w:rPr>
        <w:t xml:space="preserve">MSV-11</w:t>
      </w:r>
    </w:p>
    <w:p>
      <w:pPr>
        <w:spacing w:after="100" w:before="60" w:line="276"/>
        <w:jc w:val="left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Многофункциональная морская платформа с динамическим позиционированием DP1, рубкой на 3 человека и системой спуска погружного оборудования.</w:t>
      </w:r>
    </w:p>
    <w:p>
      <w:pPr>
        <w:spacing w:after="200" w:before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10"/>
        <w:gridCol w:w="2409"/>
        <w:gridCol w:w="2410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2202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11 м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88BBDD"/>
                <w:sz w:val="16"/>
                <w:szCs w:val="16"/>
              </w:rPr>
              <w:t xml:space="preserve">ДЛИНА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2202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 чел.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88BBDD"/>
                <w:sz w:val="16"/>
                <w:szCs w:val="16"/>
              </w:rPr>
              <w:t xml:space="preserve">ЭКИПАЖ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2202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DP1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88BBDD"/>
                <w:sz w:val="16"/>
                <w:szCs w:val="16"/>
              </w:rPr>
              <w:t xml:space="preserve">ПОЗИЦИОНИРОВАНИЕ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2202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2×300 л/с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88BBDD"/>
                <w:sz w:val="16"/>
                <w:szCs w:val="16"/>
              </w:rPr>
              <w:t xml:space="preserve">ДВИГАТЕЛИ</w:t>
            </w:r>
          </w:p>
        </w:tc>
      </w:tr>
    </w:tbl>
    <w:p>
      <w:pPr>
        <w:spacing w:before="300"/>
      </w:pPr>
    </w:p>
    <w:p>
      <w:pPr>
        <w:jc w:val="center"/>
      </w:pPr>
      <w:r>
        <w:drawing>
          <wp:inline distT="0" distB="0" distL="0" distR="0">
            <wp:extent cx="4762500" cy="3619500"/>
            <wp:effectExtent t="0" r="0" b="0" l="0"/>
            <wp:docPr id="1" name="Вариант три четверти, спокойная вода.png" descr="Вариант три четверти, спокойная вода.png" title="Вариант три четверти, спокойная вод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0"/>
      </w:pPr>
    </w:p>
    <w:p>
      <w:r>
        <w:rPr>
          <w:rFonts w:ascii="Arial" w:cs="Arial" w:eastAsia="Arial" w:hAnsi="Arial"/>
          <w:color w:val="5A6774"/>
          <w:sz w:val="18"/>
          <w:szCs w:val="18"/>
        </w:rPr>
        <w:t xml:space="preserve">ГК «Лабораторный кластер» | labcluster.ru | 2026</w:t>
      </w:r>
    </w:p>
    <w:p>
      <w:r>
        <w:br w:type="pag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05206"/>
          <w:spacing w:val="80"/>
          <w:sz w:val="18"/>
          <w:szCs w:val="18"/>
        </w:rPr>
        <w:t xml:space="preserve">ЗАДАЧИ</w:t>
      </w:r>
    </w:p>
    <w:p>
      <w:pPr>
        <w:spacing w:after="200" w:before="60"/>
      </w:pPr>
      <w:r>
        <w:rPr>
          <w:rFonts w:ascii="Arial" w:cs="Arial" w:eastAsia="Arial" w:hAnsi="Arial"/>
          <w:b/>
          <w:bCs/>
          <w:color w:val="12202D"/>
          <w:sz w:val="40"/>
          <w:szCs w:val="40"/>
        </w:rPr>
        <w:t xml:space="preserve">Отбор проб с судна требует </w:t>
      </w:r>
      <w:r>
        <w:rPr>
          <w:rFonts w:ascii="Arial" w:cs="Arial" w:eastAsia="Arial" w:hAnsi="Arial"/>
          <w:b/>
          <w:bCs/>
          <w:color w:val="1B6FA8"/>
          <w:sz w:val="40"/>
          <w:szCs w:val="40"/>
        </w:rPr>
        <w:t xml:space="preserve">присутствия людей</w:t>
      </w:r>
      <w:r>
        <w:rPr>
          <w:rFonts w:ascii="Arial" w:cs="Arial" w:eastAsia="Arial" w:hAnsi="Arial"/>
          <w:b/>
          <w:bCs/>
          <w:color w:val="12202D"/>
          <w:sz w:val="40"/>
          <w:szCs w:val="40"/>
        </w:rPr>
        <w:t xml:space="preserve"> на борту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2202D"/>
          <w:sz w:val="24"/>
          <w:szCs w:val="24"/>
        </w:rPr>
        <w:t xml:space="preserve">Задачи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Сложный пробоотбор — существующие методики и оборудование по пробоотбору воды, грунта, планктона требуют присутствия обученного персонала. Оборудование рассчитано на отбор только в одной точке.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Точное позиционирование DP1 — удержание в точке с погрешностью 1–1,5 метра при силе ветра 4–5 баллов по шкале Бофорта.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Работа с материнским судном — катамаран буксируется в район работ материнским судном с судовой лабораторией и возможностью размещения экипажа.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Безопасность экипажа — катамаран отвечает всем правилам РМРС.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E05206"/>
          <w:sz w:val="24"/>
          <w:szCs w:val="24"/>
        </w:rPr>
        <w:t xml:space="preserve">Решение — MSV-11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Ответ на пробоотбор: Рубка на три человека для отбора проб по программе ПЭК, а также для параллельного отбора автоматическими пробоотборниками.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Ответ на позиционирование: Система DP не ниже DP1 позволит работать в зоне 500 м от платформы, обеспечивать работу ТНПА на глубинах до 350 м.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Ответ на материнское судно: Разработаем проект буксировки, отвечающий требованиям регистра. Пробы обрабатываются в лаборатории материнского судна.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Ответ на безопасность: Катамаран с экипажем отвечают требованиям производственной безопасности.</w:t>
      </w:r>
    </w:p>
    <w:p>
      <w:pPr>
        <w:spacing w:before="200"/>
        <w:jc w:val="center"/>
      </w:pPr>
      <w:r>
        <w:drawing>
          <wp:inline distT="0" distB="0" distL="0" distR="0">
            <wp:extent cx="4381500" cy="2667000"/>
            <wp:effectExtent t="0" r="0" b="0" l="0"/>
            <wp:docPr id="1" name="В движении..png" descr="В движении..png" title="В движении.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05206"/>
          <w:spacing w:val="80"/>
          <w:sz w:val="18"/>
          <w:szCs w:val="18"/>
        </w:rPr>
        <w:t xml:space="preserve">ТЕХНИЧЕСКИЕ ХАРАКТЕРИСТИКИ</w:t>
      </w:r>
    </w:p>
    <w:p>
      <w:pPr>
        <w:spacing w:after="200" w:before="60"/>
      </w:pPr>
      <w:r>
        <w:rPr>
          <w:rFonts w:ascii="Arial" w:cs="Arial" w:eastAsia="Arial" w:hAnsi="Arial"/>
          <w:b/>
          <w:bCs/>
          <w:color w:val="12202D"/>
          <w:sz w:val="40"/>
          <w:szCs w:val="40"/>
        </w:rPr>
        <w:t xml:space="preserve">Ключевые </w:t>
      </w:r>
      <w:r>
        <w:rPr>
          <w:rFonts w:ascii="Arial" w:cs="Arial" w:eastAsia="Arial" w:hAnsi="Arial"/>
          <w:b/>
          <w:bCs/>
          <w:color w:val="1B6FA8"/>
          <w:sz w:val="40"/>
          <w:szCs w:val="40"/>
        </w:rPr>
        <w:t xml:space="preserve">ТТХ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Длина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11 м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Ширина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~4,5 м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Материал корпуса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Алюминий, заполнен пенопластом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Водоизмещение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~5 т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Рубка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3 чел. (капитан, оператор ТНПА, пробоотборщик)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Двигатели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2 подвесных × 300 л/с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Подрульки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2 шт.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Система DP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DP1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АИС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Класс А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Радиостанции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УКВ, ПВ/КВ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Эхолот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Навигационный + многолучевой (опц.)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Метеостанция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Бортовая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Радар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Навигационный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Якорное устройство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Есть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П-образная мачта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Наклонная, для спуска оборудования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Ходовые огни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По правилам МППСС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Спасательный плот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Надувной в контейнере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Спасательные круги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По нормам РМРС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Генератор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Дизель-генератор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Лебёдки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2 шт.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Манипулятор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Опционально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Спутниковая связь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Опционально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Подводная навигация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USBL — опционально</w:t>
            </w:r>
          </w:p>
        </w:tc>
      </w:tr>
    </w:tbl>
    <w:p>
      <w:r>
        <w:br w:type="pag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05206"/>
          <w:spacing w:val="80"/>
          <w:sz w:val="18"/>
          <w:szCs w:val="18"/>
        </w:rPr>
        <w:t xml:space="preserve">ПРЕИМУЩЕСТВА</w:t>
      </w:r>
    </w:p>
    <w:p>
      <w:pPr>
        <w:spacing w:after="200" w:before="60"/>
      </w:pPr>
      <w:r>
        <w:rPr>
          <w:rFonts w:ascii="Arial" w:cs="Arial" w:eastAsia="Arial" w:hAnsi="Arial"/>
          <w:b/>
          <w:bCs/>
          <w:color w:val="12202D"/>
          <w:sz w:val="40"/>
          <w:szCs w:val="40"/>
        </w:rPr>
        <w:t xml:space="preserve">Почему </w:t>
      </w:r>
      <w:r>
        <w:rPr>
          <w:rFonts w:ascii="Arial" w:cs="Arial" w:eastAsia="Arial" w:hAnsi="Arial"/>
          <w:b/>
          <w:bCs/>
          <w:color w:val="E05206"/>
          <w:sz w:val="40"/>
          <w:szCs w:val="40"/>
        </w:rPr>
        <w:t xml:space="preserve">MSV-11</w:t>
      </w:r>
      <w:r>
        <w:rPr>
          <w:rFonts w:ascii="Arial" w:cs="Arial" w:eastAsia="Arial" w:hAnsi="Arial"/>
          <w:b/>
          <w:bCs/>
          <w:color w:val="12202D"/>
          <w:sz w:val="40"/>
          <w:szCs w:val="40"/>
        </w:rPr>
        <w:t xml:space="preserve"> отличается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2202D"/>
          <w:sz w:val="26"/>
          <w:szCs w:val="26"/>
        </w:rPr>
        <w:t xml:space="preserve">Экономия</w:t>
      </w:r>
    </w:p>
    <w:p>
      <w:pPr>
        <w:spacing w:after="100" w:before="60" w:line="276"/>
        <w:jc w:val="left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Катамаран в связке с материнским судном позволяет обеспечивать весь комплекс работ, ранее требовавший привлечения дорогостоящего судна с системой динамического позиционирования.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2202D"/>
          <w:sz w:val="26"/>
          <w:szCs w:val="26"/>
        </w:rPr>
        <w:t xml:space="preserve">Уникальная научная платформа</w:t>
      </w:r>
    </w:p>
    <w:p>
      <w:pPr>
        <w:spacing w:after="100" w:before="60" w:line="276"/>
        <w:jc w:val="left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Многофункциональность катамарана позволяет увеличивать количество исследований под конкретную задачу. Например, точное попадание грунтовой трубки в зону разгрузки углеводородного флюида.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2202D"/>
          <w:sz w:val="26"/>
          <w:szCs w:val="26"/>
        </w:rPr>
        <w:t xml:space="preserve">Аналогов нет</w:t>
      </w:r>
    </w:p>
    <w:p>
      <w:pPr>
        <w:spacing w:after="100" w:before="60" w:line="276"/>
        <w:jc w:val="left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Опыт строительства маломерного судна с DP1, разработка автоматических систем пробоотбора позволит совершить прорыв в области экологических, океанологических, геохимических изысканий.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2202D"/>
          <w:sz w:val="26"/>
          <w:szCs w:val="26"/>
        </w:rPr>
        <w:t xml:space="preserve">Глобальная мобильность</w:t>
      </w:r>
    </w:p>
    <w:p>
      <w:pPr>
        <w:spacing w:after="100" w:before="60" w:line="276"/>
        <w:jc w:val="left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Возможность отправки в любую точку мира позволит находить работу вне сезона Арктической навигации.</w:t>
      </w:r>
    </w:p>
    <w:p>
      <w:r>
        <w:br w:type="pag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05206"/>
          <w:spacing w:val="80"/>
          <w:sz w:val="18"/>
          <w:szCs w:val="18"/>
        </w:rPr>
        <w:t xml:space="preserve">МОДУЛЬНАЯ АРХИТЕКТУРА</w:t>
      </w:r>
    </w:p>
    <w:p>
      <w:pPr>
        <w:spacing w:after="200" w:before="60"/>
      </w:pPr>
      <w:r>
        <w:rPr>
          <w:rFonts w:ascii="Arial" w:cs="Arial" w:eastAsia="Arial" w:hAnsi="Arial"/>
          <w:b/>
          <w:bCs/>
          <w:color w:val="E05206"/>
          <w:sz w:val="40"/>
          <w:szCs w:val="40"/>
        </w:rPr>
        <w:t xml:space="preserve">5 типов</w:t>
      </w:r>
      <w:r>
        <w:rPr>
          <w:rFonts w:ascii="Arial" w:cs="Arial" w:eastAsia="Arial" w:hAnsi="Arial"/>
          <w:b/>
          <w:bCs/>
          <w:color w:val="12202D"/>
          <w:sz w:val="40"/>
          <w:szCs w:val="40"/>
        </w:rPr>
        <w:t xml:space="preserve"> сменного оборудования</w:t>
      </w:r>
    </w:p>
    <w:p>
      <w:pPr>
        <w:spacing w:after="100" w:before="60" w:line="276"/>
        <w:jc w:val="left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Рубка с возможностью размещения научного персонала на борту для контроля пробоотбора автоматическими системами и управления ТНПА. 5 типов сменного оборудования. Каждый модуль оборудован лебёдкой для спуска/подъёма.</w:t>
      </w:r>
    </w:p>
    <w:p>
      <w:pPr>
        <w:spacing w:before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714500" cy="1333500"/>
                  <wp:effectExtent t="0" r="0" b="0" l="0"/>
                  <wp:docPr id="1" name="Экологический модуль.png" descr="Экологический модуль.png" title="Экологический модуль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2202D"/>
                <w:sz w:val="24"/>
                <w:szCs w:val="24"/>
              </w:rPr>
              <w:t xml:space="preserve">1. Экология</w:t>
            </w:r>
          </w:p>
          <w:p>
            <w:pPr>
              <w:spacing w:line="276"/>
            </w:pPr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Кассета с батометрами, CTD зонд, дночерпатели либо грунтовые трубки для многократного отбора проб с разных точек. Возможность установки подводной навигации USBL.</w:t>
            </w:r>
          </w:p>
        </w:tc>
      </w:tr>
    </w:tbl>
    <w:p>
      <w:pPr>
        <w:spacing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714500" cy="1333500"/>
                  <wp:effectExtent t="0" r="0" b="0" l="0"/>
                  <wp:docPr id="1" name="Инспекционный модуль Компактный ROV, свет, видеокамеры, гидролокатор ближнего обзора, газоанализ.png" descr="Инспекционный модуль Компактный ROV, свет, видеокамеры, гидролокатор ближнего обзора, газоанализ.png" title="Инспекционный модуль Компактный ROV, свет, видеокамеры, гидролокатор ближнего обзора, газоанализ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2202D"/>
                <w:sz w:val="24"/>
                <w:szCs w:val="24"/>
              </w:rPr>
              <w:t xml:space="preserve">2. ТНПА</w:t>
            </w:r>
          </w:p>
          <w:p>
            <w:pPr>
              <w:spacing w:line="276"/>
            </w:pPr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Спуск и подъём ТНПА массой до 300 кг через раздвижной пандус модуля. Управление оператором из рубки, в дальнейшем — ретранслятор для управления с материнского судна.</w:t>
            </w:r>
          </w:p>
        </w:tc>
      </w:tr>
    </w:tbl>
    <w:p>
      <w:pPr>
        <w:spacing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714500" cy="1333500"/>
                  <wp:effectExtent t="0" r="0" b="0" l="0"/>
                  <wp:docPr id="1" name="планктон.png" descr="планктон.png" title="планктон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2202D"/>
                <w:sz w:val="24"/>
                <w:szCs w:val="24"/>
              </w:rPr>
              <w:t xml:space="preserve">3. Планктон</w:t>
            </w:r>
          </w:p>
          <w:p>
            <w:pPr>
              <w:spacing w:line="276"/>
            </w:pPr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Модуль отбора проб планктона разного типа в толще воды. Позволяет отбирать планктон в приповерхностном и придонном слое.</w:t>
            </w:r>
          </w:p>
        </w:tc>
      </w:tr>
    </w:tbl>
    <w:p>
      <w:pPr>
        <w:spacing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714500" cy="1333500"/>
                  <wp:effectExtent t="0" r="0" b="0" l="0"/>
                  <wp:docPr id="1" name="Буксир.png" descr="Буксир.png" title="Буксир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2202D"/>
                <w:sz w:val="24"/>
                <w:szCs w:val="24"/>
              </w:rPr>
              <w:t xml:space="preserve">4. Буксируемые системы</w:t>
            </w:r>
          </w:p>
          <w:p>
            <w:pPr>
              <w:spacing w:line="276"/>
            </w:pPr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ГБО, профилограф, магнитометр и другие геофизические инструменты в одном модуле.</w:t>
            </w:r>
          </w:p>
        </w:tc>
      </w:tr>
    </w:tbl>
    <w:p>
      <w:pPr>
        <w:spacing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714500" cy="1333500"/>
                  <wp:effectExtent t="0" r="0" b="0" l="0"/>
                  <wp:docPr id="1" name="доплеровский профилограф.png" descr="доплеровский профилограф.png" title="доплеровский профилограф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2202D"/>
                <w:sz w:val="24"/>
                <w:szCs w:val="24"/>
              </w:rPr>
              <w:t xml:space="preserve">5. Океанологический</w:t>
            </w:r>
          </w:p>
          <w:p>
            <w:pPr>
              <w:spacing w:line="276"/>
            </w:pPr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Доплеровский профилограф измеряет скорость и направление течений по глубине для океанологического профилирования.</w:t>
            </w:r>
          </w:p>
        </w:tc>
      </w:tr>
    </w:tbl>
    <w:p>
      <w:r>
        <w:br w:type="pag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05206"/>
          <w:spacing w:val="80"/>
          <w:sz w:val="18"/>
          <w:szCs w:val="18"/>
        </w:rPr>
        <w:t xml:space="preserve">ДОПОЛНИТЕЛЬНОЕ ОБОРУДОВАНИЕ</w:t>
      </w:r>
    </w:p>
    <w:p>
      <w:pPr>
        <w:spacing w:after="200" w:before="60"/>
      </w:pPr>
      <w:r>
        <w:rPr>
          <w:rFonts w:ascii="Arial" w:cs="Arial" w:eastAsia="Arial" w:hAnsi="Arial"/>
          <w:b/>
          <w:bCs/>
          <w:color w:val="12202D"/>
          <w:sz w:val="40"/>
          <w:szCs w:val="40"/>
        </w:rPr>
        <w:t xml:space="preserve">Палубное оснащение </w:t>
      </w:r>
      <w:r>
        <w:rPr>
          <w:rFonts w:ascii="Arial" w:cs="Arial" w:eastAsia="Arial" w:hAnsi="Arial"/>
          <w:b/>
          <w:bCs/>
          <w:color w:val="E05206"/>
          <w:sz w:val="40"/>
          <w:szCs w:val="40"/>
        </w:rPr>
        <w:t xml:space="preserve">MSV-11</w:t>
      </w:r>
    </w:p>
    <w:p>
      <w:pPr>
        <w:spacing w:after="100" w:before="60" w:line="276"/>
        <w:jc w:val="left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MSV-11 комплектуется палубным оборудованием для безопасного проведения исследовательских работ в открытом море.</w:t>
      </w:r>
    </w:p>
    <w:p>
      <w:pPr>
        <w:spacing w:before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714500" cy="1333500"/>
                  <wp:effectExtent t="0" r="0" b="0" l="0"/>
                  <wp:docPr id="1" name="Арка малая.png" descr="Арка малая.png" title="Арка малая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2202D"/>
                <w:sz w:val="24"/>
                <w:szCs w:val="24"/>
              </w:rPr>
              <w:t xml:space="preserve">1. П-образная арка</w:t>
            </w:r>
          </w:p>
          <w:p>
            <w:pPr>
              <w:spacing w:line="276"/>
            </w:pPr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Силовая П-образная арка на корме. Опорная конструкция для крепления антенн, навигационных огней, прожекторов.</w:t>
            </w:r>
          </w:p>
        </w:tc>
      </w:tr>
    </w:tbl>
    <w:p>
      <w:pPr>
        <w:spacing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714500" cy="1333500"/>
                  <wp:effectExtent t="0" r="0" b="0" l="0"/>
                  <wp:docPr id="1" name="Кран-балка.png" descr="Кран-балка.png" title="Кран-балка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2202D"/>
                <w:sz w:val="24"/>
                <w:szCs w:val="24"/>
              </w:rPr>
              <w:t xml:space="preserve">2. Кран-балка / манипулятор</w:t>
            </w:r>
          </w:p>
          <w:p>
            <w:pPr>
              <w:spacing w:line="276"/>
            </w:pPr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Для спуска/подъёма ТНПА, кассеты с батометрами, автоматических модулей. Для перегрузки оборудования на берег либо материнское судно.</w:t>
            </w:r>
          </w:p>
        </w:tc>
      </w:tr>
    </w:tbl>
    <w:p>
      <w:pPr>
        <w:spacing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714500" cy="1333500"/>
                  <wp:effectExtent t="0" r="0" b="0" l="0"/>
                  <wp:docPr id="1" name="Лебедка.png" descr="Лебедка.png" title="Лебедка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2202D"/>
                <w:sz w:val="24"/>
                <w:szCs w:val="24"/>
              </w:rPr>
              <w:t xml:space="preserve">3. Лебёдки</w:t>
            </w:r>
          </w:p>
          <w:p>
            <w:pPr>
              <w:spacing w:line="276"/>
            </w:pPr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2 шт. для спуска и подъёма научных приборов на заданные горизонты.</w:t>
            </w:r>
          </w:p>
        </w:tc>
      </w:tr>
    </w:tbl>
    <w:p>
      <w:pPr>
        <w:spacing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714500" cy="1333500"/>
                  <wp:effectExtent t="0" r="0" b="0" l="0"/>
                  <wp:docPr id="1" name="спасательные плоты 3.png" descr="спасательные плоты 3.png" title="спасательные плоты 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2202D"/>
                <w:sz w:val="24"/>
                <w:szCs w:val="24"/>
              </w:rPr>
              <w:t xml:space="preserve">4. Спасательные плоты</w:t>
            </w:r>
          </w:p>
          <w:p>
            <w:pPr>
              <w:spacing w:line="276"/>
            </w:pPr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В контейнерах согласно требованиям Регистра.</w:t>
            </w:r>
          </w:p>
        </w:tc>
      </w:tr>
    </w:tbl>
    <w:p>
      <w:pPr>
        <w:spacing w:before="200"/>
      </w:pPr>
    </w:p>
    <w:p>
      <w:pPr>
        <w:jc w:val="center"/>
      </w:pPr>
      <w:r>
        <w:drawing>
          <wp:inline distT="0" distB="0" distL="0" distR="0">
            <wp:extent cx="4762500" cy="3238500"/>
            <wp:effectExtent t="0" r="0" b="0" l="0"/>
            <wp:docPr id="1" name="Каталог 2.png" descr="Каталог 2.png" title="Каталог 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05206"/>
          <w:spacing w:val="80"/>
          <w:sz w:val="18"/>
          <w:szCs w:val="18"/>
        </w:rPr>
        <w:t xml:space="preserve">ПОКРЫТИЕ ЗАДАЧ ЗАКАЗЧИКА</w:t>
      </w:r>
    </w:p>
    <w:p>
      <w:pPr>
        <w:spacing w:after="200" w:before="60"/>
      </w:pPr>
      <w:r>
        <w:rPr>
          <w:rFonts w:ascii="Arial" w:cs="Arial" w:eastAsia="Arial" w:hAnsi="Arial"/>
          <w:b/>
          <w:bCs/>
          <w:color w:val="12202D"/>
          <w:sz w:val="40"/>
          <w:szCs w:val="40"/>
        </w:rPr>
        <w:t xml:space="preserve">Применение в задачах </w:t>
      </w:r>
      <w:r>
        <w:rPr>
          <w:rFonts w:ascii="Arial" w:cs="Arial" w:eastAsia="Arial" w:hAnsi="Arial"/>
          <w:b/>
          <w:bCs/>
          <w:color w:val="1B6FA8"/>
          <w:sz w:val="40"/>
          <w:szCs w:val="40"/>
        </w:rPr>
        <w:t xml:space="preserve">нефтегазовой отрасли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3838"/>
      </w:tblGrid>
      <w:tr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2202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Задача</w:t>
            </w:r>
          </w:p>
        </w:tc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2202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Оборудование</w:t>
            </w:r>
          </w:p>
        </w:tc>
        <w:tc>
          <w:tcPr>
            <w:tcW w:type="dxa" w:w="3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2202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Возможности</w:t>
            </w:r>
          </w:p>
        </w:tc>
      </w:tr>
      <w:tr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12202D"/>
                <w:sz w:val="18"/>
                <w:szCs w:val="18"/>
              </w:rPr>
              <w:t xml:space="preserve">Гидрохимический мониторинг</w:t>
            </w:r>
          </w:p>
        </w:tc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18"/>
                <w:szCs w:val="18"/>
              </w:rPr>
              <w:t xml:space="preserve">Кассета с батометрами</w:t>
            </w:r>
          </w:p>
        </w:tc>
        <w:tc>
          <w:tcPr>
            <w:tcW w:type="dxa" w:w="3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5A6774"/>
                <w:sz w:val="18"/>
                <w:szCs w:val="18"/>
              </w:rPr>
              <w:t xml:space="preserve">Отбор проб воды на различных горизонтах, координатная привязка через DP1</w:t>
            </w:r>
          </w:p>
        </w:tc>
      </w:tr>
      <w:tr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12202D"/>
                <w:sz w:val="18"/>
                <w:szCs w:val="18"/>
              </w:rPr>
              <w:t xml:space="preserve">Геохимический отбор проб грунта</w:t>
            </w:r>
          </w:p>
        </w:tc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18"/>
                <w:szCs w:val="18"/>
              </w:rPr>
              <w:t xml:space="preserve">Дночерпатель</w:t>
            </w:r>
          </w:p>
        </w:tc>
        <w:tc>
          <w:tcPr>
            <w:tcW w:type="dxa" w:w="3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5A6774"/>
                <w:sz w:val="18"/>
                <w:szCs w:val="18"/>
              </w:rPr>
              <w:t xml:space="preserve">Ненарушенные образцы донных отложений, геохимический анализ</w:t>
            </w:r>
          </w:p>
        </w:tc>
      </w:tr>
      <w:tr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12202D"/>
                <w:sz w:val="18"/>
                <w:szCs w:val="18"/>
              </w:rPr>
              <w:t xml:space="preserve">Биомониторинг планктона</w:t>
            </w:r>
          </w:p>
        </w:tc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18"/>
                <w:szCs w:val="18"/>
              </w:rPr>
              <w:t xml:space="preserve">Сетки Джеди</w:t>
            </w:r>
          </w:p>
        </w:tc>
        <w:tc>
          <w:tcPr>
            <w:tcW w:type="dxa" w:w="3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5A6774"/>
                <w:sz w:val="18"/>
                <w:szCs w:val="18"/>
              </w:rPr>
              <w:t xml:space="preserve">Отбор проб планктона, серийный отбор на станциях</w:t>
            </w:r>
          </w:p>
        </w:tc>
      </w:tr>
      <w:tr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12202D"/>
                <w:sz w:val="18"/>
                <w:szCs w:val="18"/>
              </w:rPr>
              <w:t xml:space="preserve">Визуальный осмотр</w:t>
            </w:r>
          </w:p>
        </w:tc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18"/>
                <w:szCs w:val="18"/>
              </w:rPr>
              <w:t xml:space="preserve">ТНПА (ROV)</w:t>
            </w:r>
          </w:p>
        </w:tc>
        <w:tc>
          <w:tcPr>
            <w:tcW w:type="dxa" w:w="3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5A6774"/>
                <w:sz w:val="18"/>
                <w:szCs w:val="18"/>
              </w:rPr>
              <w:t xml:space="preserve">Управление из рубки, видеосъёмка, инспекция</w:t>
            </w:r>
          </w:p>
        </w:tc>
      </w:tr>
      <w:tr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12202D"/>
                <w:sz w:val="18"/>
                <w:szCs w:val="18"/>
              </w:rPr>
              <w:t xml:space="preserve">Экомониторинг скважин</w:t>
            </w:r>
          </w:p>
        </w:tc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18"/>
                <w:szCs w:val="18"/>
              </w:rPr>
              <w:t xml:space="preserve">Батометры + Дночерпатель</w:t>
            </w:r>
          </w:p>
        </w:tc>
        <w:tc>
          <w:tcPr>
            <w:tcW w:type="dxa" w:w="3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5A6774"/>
                <w:sz w:val="18"/>
                <w:szCs w:val="18"/>
              </w:rPr>
              <w:t xml:space="preserve">Комплексный отбор проб воды и грунта</w:t>
            </w:r>
          </w:p>
        </w:tc>
      </w:tr>
      <w:tr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12202D"/>
                <w:sz w:val="18"/>
                <w:szCs w:val="18"/>
              </w:rPr>
              <w:t xml:space="preserve">Комплексные исследования</w:t>
            </w:r>
          </w:p>
        </w:tc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18"/>
                <w:szCs w:val="18"/>
              </w:rPr>
              <w:t xml:space="preserve">Батометры + Джеди + ТНПА</w:t>
            </w:r>
          </w:p>
        </w:tc>
        <w:tc>
          <w:tcPr>
            <w:tcW w:type="dxa" w:w="3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5A6774"/>
                <w:sz w:val="18"/>
                <w:szCs w:val="18"/>
              </w:rPr>
              <w:t xml:space="preserve">Полный цикл за один выход</w:t>
            </w:r>
          </w:p>
        </w:tc>
      </w:tr>
    </w:tbl>
    <w:p>
      <w:r>
        <w:br w:type="pag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05206"/>
          <w:spacing w:val="80"/>
          <w:sz w:val="18"/>
          <w:szCs w:val="18"/>
        </w:rPr>
        <w:t xml:space="preserve">ОБЛАСТИ ПРИМЕНЕНИЯ</w:t>
      </w:r>
    </w:p>
    <w:p>
      <w:pPr>
        <w:spacing w:after="200" w:before="60"/>
      </w:pPr>
      <w:r>
        <w:rPr>
          <w:rFonts w:ascii="Arial" w:cs="Arial" w:eastAsia="Arial" w:hAnsi="Arial"/>
          <w:b/>
          <w:bCs/>
          <w:color w:val="12202D"/>
          <w:sz w:val="40"/>
          <w:szCs w:val="40"/>
        </w:rPr>
        <w:t xml:space="preserve">Где работает </w:t>
      </w:r>
      <w:r>
        <w:rPr>
          <w:rFonts w:ascii="Arial" w:cs="Arial" w:eastAsia="Arial" w:hAnsi="Arial"/>
          <w:b/>
          <w:bCs/>
          <w:color w:val="E05206"/>
          <w:sz w:val="40"/>
          <w:szCs w:val="40"/>
        </w:rPr>
        <w:t xml:space="preserve">MSV-11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2202D"/>
          <w:sz w:val="24"/>
          <w:szCs w:val="24"/>
        </w:rPr>
        <w:t xml:space="preserve">Экологический мониторинг</w:t>
      </w:r>
    </w:p>
    <w:p>
      <w:pPr>
        <w:spacing w:after="100" w:before="60" w:line="276"/>
        <w:jc w:val="left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Отбор проб воды, донных отложений, зоопланктона.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2202D"/>
          <w:sz w:val="24"/>
          <w:szCs w:val="24"/>
        </w:rPr>
        <w:t xml:space="preserve">Работа с ТНПА</w:t>
      </w:r>
    </w:p>
    <w:p>
      <w:pPr>
        <w:spacing w:after="100" w:before="60" w:line="276"/>
        <w:jc w:val="left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Визуальный осмотр законсервированных устьев скважин, газонефтепроводов.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2202D"/>
          <w:sz w:val="24"/>
          <w:szCs w:val="24"/>
        </w:rPr>
        <w:t xml:space="preserve">Геохимические исследования</w:t>
      </w:r>
    </w:p>
    <w:p>
      <w:pPr>
        <w:spacing w:after="100" w:before="60" w:line="276"/>
        <w:jc w:val="left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Отбор проб грунта для определения углеводородного флюида с координатной привязкой.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2202D"/>
          <w:sz w:val="24"/>
          <w:szCs w:val="24"/>
        </w:rPr>
        <w:t xml:space="preserve">Гидрография</w:t>
      </w:r>
    </w:p>
    <w:p>
      <w:pPr>
        <w:spacing w:after="100" w:before="60" w:line="276"/>
        <w:jc w:val="left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Буксировка погружного оборудования: ГБО, профилографы, магнитометры.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2202D"/>
          <w:sz w:val="24"/>
          <w:szCs w:val="24"/>
        </w:rPr>
        <w:t xml:space="preserve">Работа в портах</w:t>
      </w:r>
    </w:p>
    <w:p>
      <w:pPr>
        <w:spacing w:after="100" w:before="60" w:line="276"/>
        <w:jc w:val="left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Осмотр систем ВРК нефте/газотанкеров.</w:t>
      </w:r>
    </w:p>
    <w:p>
      <w:r>
        <w:br w:type="pag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05206"/>
          <w:spacing w:val="80"/>
          <w:sz w:val="18"/>
          <w:szCs w:val="18"/>
        </w:rPr>
        <w:t xml:space="preserve">ПОЧЕМУ МЫ</w:t>
      </w:r>
    </w:p>
    <w:p>
      <w:pPr>
        <w:spacing w:after="200" w:before="60"/>
      </w:pPr>
      <w:r>
        <w:rPr>
          <w:rFonts w:ascii="Arial" w:cs="Arial" w:eastAsia="Arial" w:hAnsi="Arial"/>
          <w:b/>
          <w:bCs/>
          <w:color w:val="12202D"/>
          <w:sz w:val="40"/>
          <w:szCs w:val="40"/>
        </w:rPr>
        <w:t xml:space="preserve">ГК «Лабораторный кластер» — </w:t>
      </w:r>
      <w:r>
        <w:rPr>
          <w:rFonts w:ascii="Arial" w:cs="Arial" w:eastAsia="Arial" w:hAnsi="Arial"/>
          <w:b/>
          <w:bCs/>
          <w:color w:val="1B6FA8"/>
          <w:sz w:val="40"/>
          <w:szCs w:val="40"/>
        </w:rPr>
        <w:t xml:space="preserve">идеальный партнёр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B6FA8"/>
          <w:sz w:val="24"/>
          <w:szCs w:val="24"/>
        </w:rPr>
        <w:t xml:space="preserve">Лаборатория и методики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Мы самая крупная частная лаборатория в РФ.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Наш отдел качества способен разработать и аттестовать методики по отбору проб автоматическим оборудованием с МНС.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Мы добавим эти методики в область аккредитации. Подключим автоматический лабораторный комплекс к программе АЛАБ для подтверждения прослеживаемости отобранной пробы.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Наш технический отдел имеет опыт разработки и регистрации собственного оборудования, в том числе по пробоотбору.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E05206"/>
          <w:sz w:val="24"/>
          <w:szCs w:val="24"/>
        </w:rPr>
        <w:t xml:space="preserve">Собственный научный флот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В составе нашего флота 6 судов РМРС. Из них 3 работает в Арктике, в том числе на объектах добывающих компаний.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В Салехарде базируется судно «Ладога», в Енисейске суда «Вихревой» и «Вольный».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Наши суда оборудованы судовыми лабораториями и могут быть использованы в качестве материнских.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Ещё 2 судна уходят работать на Баренцево море в Мурманск и могут быть задействованы на испытаниях катамарана.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Отдел флота имеет опыт работы в Арктике: отбор проб, обследования скважин, гидрография, океанология, лёгкая сейсмика, водолазные осмотры, судоремонт под надзором РМРС.</w:t>
      </w:r>
    </w:p>
    <w:p>
      <w:pPr>
        <w:spacing w:after="100" w:before="200" w:line="276"/>
        <w:jc w:val="left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Такой симбиоз гарантирует, что MSV-11 будет построен под реальные задачи добывающей компании, а не инженеров-судостроителей или поставщиков оборудования.</w:t>
      </w:r>
    </w:p>
    <w:p>
      <w:pPr>
        <w:spacing w:before="100"/>
      </w:pPr>
      <w:r>
        <w:rPr>
          <w:rFonts w:ascii="Arial" w:cs="Arial" w:eastAsia="Arial" w:hAnsi="Arial"/>
          <w:b/>
          <w:bCs/>
          <w:i/>
          <w:iCs/>
          <w:color w:val="E05206"/>
          <w:sz w:val="22"/>
          <w:szCs w:val="22"/>
        </w:rPr>
        <w:t xml:space="preserve">Мы не просто предлагаем построить судно — мы создаём комплексную лабораторию на воде.</w:t>
      </w:r>
    </w:p>
    <w:p>
      <w:r>
        <w:br w:type="pag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05206"/>
          <w:spacing w:val="80"/>
          <w:sz w:val="18"/>
          <w:szCs w:val="18"/>
        </w:rPr>
        <w:t xml:space="preserve">ДОРОЖНАЯ КАРТА</w:t>
      </w:r>
    </w:p>
    <w:p>
      <w:pPr>
        <w:spacing w:after="200" w:before="60"/>
      </w:pPr>
      <w:r>
        <w:rPr>
          <w:rFonts w:ascii="Arial" w:cs="Arial" w:eastAsia="Arial" w:hAnsi="Arial"/>
          <w:b/>
          <w:bCs/>
          <w:color w:val="12202D"/>
          <w:sz w:val="40"/>
          <w:szCs w:val="40"/>
        </w:rPr>
        <w:t xml:space="preserve">Этапы реализации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E05206"/>
          <w:sz w:val="26"/>
          <w:szCs w:val="26"/>
        </w:rPr>
        <w:t xml:space="preserve">Этап 1. </w:t>
      </w:r>
      <w:r>
        <w:rPr>
          <w:rFonts w:ascii="Arial" w:cs="Arial" w:eastAsia="Arial" w:hAnsi="Arial"/>
          <w:b/>
          <w:bCs/>
          <w:color w:val="12202D"/>
          <w:sz w:val="26"/>
          <w:szCs w:val="26"/>
        </w:rPr>
        <w:t xml:space="preserve">Строительство судна с DP1 (10–12 месяцев)</w:t>
      </w:r>
    </w:p>
    <w:p>
      <w:pPr>
        <w:spacing w:after="100" w:before="60" w:line="276"/>
        <w:jc w:val="left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Строительство маломерного судна с системой динамического позиционирования DP1 с возможностью буксировки в район работ материнским судном. Получение на построенное судно документов РМРС с неограниченным районом плавания.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E05206"/>
          <w:sz w:val="26"/>
          <w:szCs w:val="26"/>
        </w:rPr>
        <w:t xml:space="preserve">Этап 2. </w:t>
      </w:r>
      <w:r>
        <w:rPr>
          <w:rFonts w:ascii="Arial" w:cs="Arial" w:eastAsia="Arial" w:hAnsi="Arial"/>
          <w:b/>
          <w:bCs/>
          <w:color w:val="12202D"/>
          <w:sz w:val="26"/>
          <w:szCs w:val="26"/>
        </w:rPr>
        <w:t xml:space="preserve">Отработка методик (3–6 месяцев)</w:t>
      </w:r>
    </w:p>
    <w:p>
      <w:pPr>
        <w:spacing w:after="100" w:before="60" w:line="276"/>
        <w:jc w:val="left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Параллельный отбор: основные пробы — по существующим методикам с человеком, параллельные — автоматической системой. Сравнение данных, доказательство совпадения, регистрация методики в РосСтандарте, расширение аккредитации лаборатории.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E05206"/>
          <w:sz w:val="26"/>
          <w:szCs w:val="26"/>
        </w:rPr>
        <w:t xml:space="preserve">Этап 3. </w:t>
      </w:r>
      <w:r>
        <w:rPr>
          <w:rFonts w:ascii="Arial" w:cs="Arial" w:eastAsia="Arial" w:hAnsi="Arial"/>
          <w:b/>
          <w:bCs/>
          <w:color w:val="12202D"/>
          <w:sz w:val="26"/>
          <w:szCs w:val="26"/>
        </w:rPr>
        <w:t xml:space="preserve">Управление МНС с DP1 (параллельно)</w:t>
      </w:r>
    </w:p>
    <w:p>
      <w:pPr>
        <w:spacing w:after="100" w:before="60" w:line="276"/>
        <w:jc w:val="left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Отработка технологии управления МНС с DP1 с материнского судна либо с берега. Судно сразу строится с возможностью переделки в МНС с DP1. МНС компактно умещается в трёх 40-футовых контейнерах.</w:t>
      </w:r>
    </w:p>
    <w:p>
      <w:pPr>
        <w:pBdr>
          <w:top w:val="single" w:color="E05206" w:sz="6" w:space="8"/>
        </w:pBdr>
        <w:spacing w:before="240"/>
      </w:pPr>
      <w:r>
        <w:rPr>
          <w:rFonts w:ascii="Arial" w:cs="Arial" w:eastAsia="Arial" w:hAnsi="Arial"/>
          <w:b/>
          <w:bCs/>
          <w:color w:val="E05206"/>
          <w:sz w:val="28"/>
          <w:szCs w:val="28"/>
        </w:rPr>
        <w:t xml:space="preserve">Этап 1 — строительство: 10–12 месяцев</w:t>
      </w:r>
    </w:p>
    <w:p>
      <w:r>
        <w:br w:type="pag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05206"/>
          <w:spacing w:val="80"/>
          <w:sz w:val="18"/>
          <w:szCs w:val="18"/>
        </w:rPr>
        <w:t xml:space="preserve">КОНТАКТЫ</w:t>
      </w:r>
    </w:p>
    <w:p>
      <w:pPr>
        <w:spacing w:after="200" w:before="60"/>
      </w:pPr>
      <w:r>
        <w:rPr>
          <w:rFonts w:ascii="Arial" w:cs="Arial" w:eastAsia="Arial" w:hAnsi="Arial"/>
          <w:b/>
          <w:bCs/>
          <w:color w:val="12202D"/>
          <w:sz w:val="40"/>
          <w:szCs w:val="40"/>
        </w:rPr>
        <w:t xml:space="preserve">Контакты команды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c>
          <w:tcPr>
            <w:tcW w:type="dxa" w:w="3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2"/>
                <w:szCs w:val="22"/>
              </w:rPr>
              <w:t xml:space="preserve">Контактное лицо</w:t>
            </w:r>
          </w:p>
        </w:tc>
        <w:tc>
          <w:tcPr>
            <w:tcW w:type="dxa" w:w="64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2"/>
                <w:szCs w:val="22"/>
              </w:rPr>
              <w:t xml:space="preserve">Нейра Филипп Георгиевич, Учредитель</w:t>
            </w:r>
          </w:p>
        </w:tc>
      </w:tr>
      <w:tr>
        <w:tc>
          <w:tcPr>
            <w:tcW w:type="dxa" w:w="3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2"/>
                <w:szCs w:val="22"/>
              </w:rPr>
              <w:t xml:space="preserve">Компания</w:t>
            </w:r>
          </w:p>
        </w:tc>
        <w:tc>
          <w:tcPr>
            <w:tcW w:type="dxa" w:w="64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2"/>
                <w:szCs w:val="22"/>
              </w:rPr>
              <w:t xml:space="preserve">ГК «Лабораторный кластер» · labcluster.ru</w:t>
            </w:r>
          </w:p>
        </w:tc>
      </w:tr>
      <w:tr>
        <w:tc>
          <w:tcPr>
            <w:tcW w:type="dxa" w:w="3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2"/>
                <w:szCs w:val="22"/>
              </w:rPr>
              <w:t xml:space="preserve">Адрес</w:t>
            </w:r>
          </w:p>
        </w:tc>
        <w:tc>
          <w:tcPr>
            <w:tcW w:type="dxa" w:w="64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2"/>
                <w:szCs w:val="22"/>
              </w:rPr>
              <w:t xml:space="preserve">195112, г. Санкт-Петербург, Заневский пр., д. 54, к.5</w:t>
            </w:r>
          </w:p>
        </w:tc>
      </w:tr>
      <w:tr>
        <w:tc>
          <w:tcPr>
            <w:tcW w:type="dxa" w:w="3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2"/>
                <w:szCs w:val="22"/>
              </w:rPr>
              <w:t xml:space="preserve">Email</w:t>
            </w:r>
          </w:p>
        </w:tc>
        <w:tc>
          <w:tcPr>
            <w:tcW w:type="dxa" w:w="64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2"/>
                <w:szCs w:val="22"/>
              </w:rPr>
              <w:t xml:space="preserve">neira@labcluster.ru</w:t>
            </w:r>
          </w:p>
        </w:tc>
      </w:tr>
      <w:tr>
        <w:tc>
          <w:tcPr>
            <w:tcW w:type="dxa" w:w="3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2"/>
                <w:szCs w:val="22"/>
              </w:rPr>
              <w:t xml:space="preserve">Мобильный</w:t>
            </w:r>
          </w:p>
        </w:tc>
        <w:tc>
          <w:tcPr>
            <w:tcW w:type="dxa" w:w="64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2"/>
                <w:szCs w:val="22"/>
              </w:rPr>
              <w:t xml:space="preserve">+7 911 299-95-86</w:t>
            </w:r>
          </w:p>
        </w:tc>
      </w:tr>
      <w:tr>
        <w:tc>
          <w:tcPr>
            <w:tcW w:type="dxa" w:w="3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2"/>
                <w:szCs w:val="22"/>
              </w:rPr>
              <w:t xml:space="preserve">Офис</w:t>
            </w:r>
          </w:p>
        </w:tc>
        <w:tc>
          <w:tcPr>
            <w:tcW w:type="dxa" w:w="64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2"/>
                <w:szCs w:val="22"/>
              </w:rPr>
              <w:t xml:space="preserve">+7 (812) 363-08-08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774"/>
        <w:sz w:val="16"/>
        <w:szCs w:val="16"/>
      </w:rPr>
      <w:t xml:space="preserve">MSV-11 Project Presentation  |  </w:t>
    </w:r>
    <w:r>
      <w:rPr>
        <w:rFonts w:ascii="Arial" w:cs="Arial" w:eastAsia="Arial" w:hAnsi="Arial"/>
        <w:color w:val="5A67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7DE" w:sz="2" w:space="4"/>
      </w:pBdr>
      <w:tabs>
        <w:tab w:val="right" w:pos="9026"/>
      </w:tabs>
    </w:pPr>
    <w:r>
      <w:rPr>
        <w:rFonts w:ascii="Arial" w:cs="Arial" w:eastAsia="Arial" w:hAnsi="Arial"/>
        <w:color w:val="5A6774"/>
        <w:sz w:val="16"/>
        <w:szCs w:val="16"/>
      </w:rPr>
      <w:t xml:space="preserve">MSV-11 — Технический паспорт</w:t>
    </w:r>
    <w:r>
      <w:rPr>
        <w:rFonts w:ascii="Arial" w:cs="Arial" w:eastAsia="Arial" w:hAnsi="Arial"/>
        <w:color w:val="5A6774"/>
        <w:sz w:val="16"/>
        <w:szCs w:val="16"/>
      </w:rPr>
      <w:t xml:space="preserve">	labcluster.ru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2202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60" w:before="180"/>
      <w:outlineLvl w:val="1"/>
    </w:pPr>
    <w:rPr>
      <w:rFonts w:ascii="Arial" w:cs="Arial" w:eastAsia="Arial" w:hAnsi="Arial"/>
      <w:b/>
      <w:bCs/>
      <w:color w:val="12202D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093be2a3937de84fd35a20f5dc96b53eff65ce9.jpg"/><Relationship Id="rId10" Type="http://schemas.openxmlformats.org/officeDocument/2006/relationships/image" Target="media/ebd8eaf1c8fedb5cf139056199464f48ec8d497b.jpg"/><Relationship Id="rId11" Type="http://schemas.openxmlformats.org/officeDocument/2006/relationships/image" Target="media/720110fba8c013e58c35432b98443f49374efc4d.jpg"/><Relationship Id="rId12" Type="http://schemas.openxmlformats.org/officeDocument/2006/relationships/image" Target="media/9c8d532085c1bc17f19b30d32df1d6918d0dea63.jpg"/><Relationship Id="rId13" Type="http://schemas.openxmlformats.org/officeDocument/2006/relationships/image" Target="media/49bd00a3e665d68ffd911c15e888871ec12ebff7.jpg"/><Relationship Id="rId14" Type="http://schemas.openxmlformats.org/officeDocument/2006/relationships/image" Target="media/94f493378f13767bee4e662b3a1d1b2baac071a8.jpg"/><Relationship Id="rId15" Type="http://schemas.openxmlformats.org/officeDocument/2006/relationships/image" Target="media/3739259b7b2c4a8cf3a88f19f1a3869cbefc81cc.jpg"/><Relationship Id="rId16" Type="http://schemas.openxmlformats.org/officeDocument/2006/relationships/image" Target="media/e7f19318a75179c84cf1014e479b178c8ccc6945.jpg"/><Relationship Id="rId17" Type="http://schemas.openxmlformats.org/officeDocument/2006/relationships/image" Target="media/c05ad548d7627a625e1d8b7814c015941f12e09e.jpg"/><Relationship Id="rId18" Type="http://schemas.openxmlformats.org/officeDocument/2006/relationships/image" Target="media/cef0f2875f6d32ae4bd168333007a295efffdb98.jpg"/><Relationship Id="rId19" Type="http://schemas.openxmlformats.org/officeDocument/2006/relationships/image" Target="media/c958b4bd4de4ec0528e65e8f80989d3e3897b27e.jpg"/><Relationship Id="rId20" Type="http://schemas.openxmlformats.org/officeDocument/2006/relationships/image" Target="media/72aa12b21bd2828c2d81747c94f0f8e111e45ff5.jp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2026-04-02T19:05:11.730Z</dcterms:created>
  <dcterms:modified xsi:type="dcterms:W3CDTF">2026-04-02T19:05:11.731Z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