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60"/>
      </w:pPr>
      <w:r>
        <w:rPr>
          <w:rFonts w:ascii="Arial" w:cs="Arial" w:eastAsia="Arial" w:hAnsi="Arial"/>
          <w:color w:val="5A6774"/>
          <w:sz w:val="28"/>
          <w:szCs w:val="28"/>
        </w:rPr>
        <w:t xml:space="preserve">Multi-System Vessel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E05206"/>
          <w:sz w:val="72"/>
          <w:szCs w:val="72"/>
        </w:rPr>
        <w:t xml:space="preserve">MSV-11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Многосистемная морская платформа с динамическим позиционированием DP1, рубкой на 3 человека и неограниченным районом плавания.</w:t>
      </w:r>
    </w:p>
    <w:p>
      <w:pPr>
        <w:spacing w:after="20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10"/>
        <w:gridCol w:w="2409"/>
        <w:gridCol w:w="2410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0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 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8BBDD"/>
                <w:sz w:val="16"/>
                <w:szCs w:val="16"/>
              </w:rPr>
              <w:t xml:space="preserve">ДЛИНА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0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 чел.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8BBDD"/>
                <w:sz w:val="16"/>
                <w:szCs w:val="16"/>
              </w:rPr>
              <w:t xml:space="preserve">ЭКИПАЖ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0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DP1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8BBDD"/>
                <w:sz w:val="16"/>
                <w:szCs w:val="16"/>
              </w:rPr>
              <w:t xml:space="preserve">ПОЗИЦИОНИРОВАНИЕ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0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2×300 л/с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88BBDD"/>
                <w:sz w:val="16"/>
                <w:szCs w:val="16"/>
              </w:rPr>
              <w:t xml:space="preserve">ДВИГАТЕЛИ</w:t>
            </w:r>
          </w:p>
        </w:tc>
      </w:tr>
    </w:tbl>
    <w:p>
      <w:pPr>
        <w:spacing w:before="300"/>
      </w:pPr>
    </w:p>
    <w:p>
      <w:pPr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Вариант три четверти, спокойная вода.png" descr="Вариант три четверти, спокойная вода.png" title="Вариант три четверти, спокойная вод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r>
        <w:rPr>
          <w:rFonts w:ascii="Arial" w:cs="Arial" w:eastAsia="Arial" w:hAnsi="Arial"/>
          <w:color w:val="5A6774"/>
          <w:sz w:val="18"/>
          <w:szCs w:val="18"/>
        </w:rPr>
        <w:t xml:space="preserve">ГК «Лабораторный кластер» | labcluster.ru | 2026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КОНЦЕПЦИЯ И ЗАДАЧА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Морские исследования требуют точности и </w:t>
      </w:r>
      <w:r>
        <w:rPr>
          <w:rFonts w:ascii="Arial" w:cs="Arial" w:eastAsia="Arial" w:hAnsi="Arial"/>
          <w:b/>
          <w:bCs/>
          <w:color w:val="1B6FA8"/>
          <w:sz w:val="40"/>
          <w:szCs w:val="40"/>
        </w:rPr>
        <w:t xml:space="preserve">присутствия людей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MSV-11 — многосистемная морская платформа с динамическим позиционированием DP1, рубкой на 3 человека и неограниченным районом плавания. Буксируется материнским судном к месту работ для проведения точных исследовательских операций.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2202D"/>
          <w:sz w:val="24"/>
          <w:szCs w:val="24"/>
        </w:rPr>
        <w:t xml:space="preserve">Задачи, требующие присутствия людей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Сложный пробоотбор — отбор проб воды батометрами, грунта дночерпателем, планктона сетками Джеди и управление ТНПА требуют присутствия специалистов на судне.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Точное позиционирование — для спуска погружного оборудования необходимо динамическое позиционирование с высокой точностью.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Работа с материнского судна — катамаран буксируется в район работ, что позволяет получить неограниченный район плавания.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Безопасность экипажа — палуба оборудована релингами, страховочными тросами и спасательными кругами.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05206"/>
          <w:sz w:val="24"/>
          <w:szCs w:val="24"/>
        </w:rPr>
        <w:t xml:space="preserve">Решение — MSV-11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Рубка на 3 человека: капитан, оператор ТНПА, пробоотборщик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Алюминиевый корпус с заполнением пенопластом — непотопляемость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Неограниченный район плавания по корпусу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Два подвесных двигателя по 300 л/с каждый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Два подруливающих устройства для точного маневрирования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Система динамического позиционирования DP1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Топливные баки и генератор на палубе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Буксировка материнским судном в район работ</w:t>
      </w:r>
    </w:p>
    <w:p>
      <w:pPr>
        <w:spacing w:before="200"/>
        <w:jc w:val="center"/>
      </w:pPr>
      <w:r>
        <w:drawing>
          <wp:inline distT="0" distB="0" distL="0" distR="0">
            <wp:extent cx="4381500" cy="2667000"/>
            <wp:effectExtent t="0" r="0" b="0" l="0"/>
            <wp:docPr id="1" name="В движении..png" descr="В движении..png" title="В движении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ТЕХНИЧЕСКИЕ ХАРАКТЕРИСТИКИ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Ключевые </w:t>
      </w:r>
      <w:r>
        <w:rPr>
          <w:rFonts w:ascii="Arial" w:cs="Arial" w:eastAsia="Arial" w:hAnsi="Arial"/>
          <w:b/>
          <w:bCs/>
          <w:color w:val="1B6FA8"/>
          <w:sz w:val="40"/>
          <w:szCs w:val="40"/>
        </w:rPr>
        <w:t xml:space="preserve">ТТХ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Тип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Multi-System Vessel с DP1 (MSV)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Длина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11 м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Корпус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Алюминиевый, заполнен пенопластом — непотопляемость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Район плавания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Неограниченный (по корпусу)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Экипаж / рубка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3 человека (капитан, оператор ТНПА, пробоотборщик)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Движители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2 подвесных двигателя × 300 л/с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Подруливающие устройства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2 шт. для точного маневрирования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Позиционирование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Система динамического позиционирования DP1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Топливные баки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Расположены на палубе (возможны плоские)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Генератор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1 шт. дизель-генератор на палубе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Буксировка материнским судном в район работ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Жилые помещения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Нет (без спальных мест и санузла)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Палуба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Релинги, страховочные тросы, спасательные круги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0"/>
                <w:szCs w:val="20"/>
              </w:rPr>
              <w:t xml:space="preserve">Погружное оборудование</w:t>
            </w:r>
          </w:p>
        </w:tc>
        <w:tc>
          <w:tcPr>
            <w:tcW w:type="dxa" w:w="5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Кассета с батометрами, дночерпатель, сетки Джеди, ТНПА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ПРЕИМУЩЕСТВА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Почему </w:t>
      </w:r>
      <w:r>
        <w:rPr>
          <w:rFonts w:ascii="Arial" w:cs="Arial" w:eastAsia="Arial" w:hAnsi="Arial"/>
          <w:b/>
          <w:bCs/>
          <w:color w:val="E05206"/>
          <w:sz w:val="40"/>
          <w:szCs w:val="40"/>
        </w:rPr>
        <w:t xml:space="preserve">MSV-11</w:t>
      </w: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 отличается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2202D"/>
          <w:sz w:val="26"/>
          <w:szCs w:val="26"/>
        </w:rPr>
        <w:t xml:space="preserve">Динамическое позиционирование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Система DP1 с двумя подрульками обеспечивает точное удержание катамарана в заданной точке при спуске оборудования и работе ТНПА.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2202D"/>
          <w:sz w:val="26"/>
          <w:szCs w:val="26"/>
        </w:rPr>
        <w:t xml:space="preserve">Непотопляемость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Алюминиевый корпус заполнен пенопластом, что гарантирует непотопляемость и позволяет получить неограниченный район плавания.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2202D"/>
          <w:sz w:val="26"/>
          <w:szCs w:val="26"/>
        </w:rPr>
        <w:t xml:space="preserve">Научная платформа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Рубка на 3 человека, палуба оборудована для работ с погружным оборудованием: батометры, дночерпатель, сетки Джеди, ТНПА.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2202D"/>
          <w:sz w:val="26"/>
          <w:szCs w:val="26"/>
        </w:rPr>
        <w:t xml:space="preserve">Буксировка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Катамаран буксируется материнским судном в район работ, что снижает требования к собственной автономности и топливным запасам.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ПОЗИЦИОНИРОВАНИЕ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Система динамического позиционирования </w:t>
      </w:r>
      <w:r>
        <w:rPr>
          <w:rFonts w:ascii="Arial" w:cs="Arial" w:eastAsia="Arial" w:hAnsi="Arial"/>
          <w:b/>
          <w:bCs/>
          <w:color w:val="1B6FA8"/>
          <w:sz w:val="40"/>
          <w:szCs w:val="40"/>
        </w:rPr>
        <w:t xml:space="preserve">DP1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MSV-11 оснащается системой динамического позиционирования класса 1 (DP1) с двумя подруливающими устройствами, которая удерживает катамаран в заданной точке при спуске погружного оборудования и работе ТНПА.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Точное удержание точки — DP1 обеспечивает стабильное позиционирование при работе с батометрами, дночерпателем и управлении ТНПА.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Два подруливающих устройства — обеспечивают точное маневрирование и удержание курса при воздействии ветра, течения и волнения.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Работа ТНПА — точное позиционирование критично для управления подводным аппаратом из рубки катамарана.</w:t>
      </w:r>
    </w:p>
    <w:p>
      <w:pPr>
        <w:spacing w:before="200"/>
        <w:jc w:val="center"/>
      </w:pPr>
      <w:r>
        <w:drawing>
          <wp:inline distT="0" distB="0" distL="0" distR="0">
            <wp:extent cx="4381500" cy="2667000"/>
            <wp:effectExtent t="0" r="0" b="0" l="0"/>
            <wp:docPr id="1" name="три четверти вариант с кран-балкой.png" descr="три четверти вариант с кран-балкой.png" title="три четверти вариант с кран-балко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МОДУЛЬНАЯ АРХИТЕКТУРА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E05206"/>
          <w:sz w:val="40"/>
          <w:szCs w:val="40"/>
        </w:rPr>
        <w:t xml:space="preserve">5 типов</w:t>
      </w: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 сменного оборудования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MSV-11 — обитаемая исследовательская платформа. С катамарана опускается погружное оборудование для выполнения морских научных работ, а оператор ТНПА управляет аппаратом непосредственно из рубки.</w:t>
      </w:r>
    </w:p>
    <w:p>
      <w:pPr>
        <w:spacing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Экологический модуль.png" descr="Экологический модуль.png" title="Экологический модуль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1. Экология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Модуль для экологического мониторинга и комплексного отбора проб воды и грунта с координатной привязкой. Позволяет оперативно проводить экологические исследования в одной миссии с другими модулями.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доплеровский профилограф.png" descr="доплеровский профилограф.png" title="доплеровский профилогра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2. Доплеровский профилограф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Доплеровский профилограф измеряет скорость и направление течений по глубине, помогает анализировать структуру водной толщи и оперативно получать океанологические данные.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Инспекционный модуль Компактный ROV, свет, видеокамеры, гидролокатор ближнего обзора, газоанализ.png" descr="Инспекционный модуль Компактный ROV, свет, видеокамеры, гидролокатор ближнего обзора, газоанализ.png" title="Инспекционный модуль Компактный ROV, свет, видеокамеры, гидролокатор ближнего обзора, газоанализ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3. ROV / ТНПА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Спуск и подъём ROV массой до 200 кг через раздвижной пандус кассеты. MSV-11 выступает ретранслятором связи и навигационной привязкой для аппарата.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планктон.png" descr="планктон.png" title="планктон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4. Планктон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Модуль для отбора проб планктона разного типа в толще воды. Позволяет проводить биологический мониторинг, изучать распределение планктона и выполнять серийный отбор проб.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Буксир.png" descr="Буксир.png" title="Буксир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5. Буксируемые системы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Буксировка гидроакустических и геофизических систем: гидролокатор бокового обзора (ГБО), субдонный профилограф, магнитометр, сейсмическая коса.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ДОПОЛНИТЕЛЬНОЕ ОБОРУДОВАНИЕ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Палубное оснащение </w:t>
      </w:r>
      <w:r>
        <w:rPr>
          <w:rFonts w:ascii="Arial" w:cs="Arial" w:eastAsia="Arial" w:hAnsi="Arial"/>
          <w:b/>
          <w:bCs/>
          <w:color w:val="E05206"/>
          <w:sz w:val="40"/>
          <w:szCs w:val="40"/>
        </w:rPr>
        <w:t xml:space="preserve">MSV-11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MSV-11 комплектуется палубным оборудованием для безопасного проведения исследовательских работ в открытом море. Конфигурация подбирается под задачи конкретной экспедиции.</w:t>
      </w:r>
    </w:p>
    <w:p>
      <w:pPr>
        <w:spacing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Арка малая.png" descr="Арка малая.png" title="Арка малая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1. П-образная арка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Силовая П-образная арка на корме катамарана. Служит опорной конструкцией для крепления антенн, навигационных огней, прожекторов и дополнительного оборудования.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Кран-балка.png" descr="Кран-балка.png" title="Кран-балка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2. Кран-балка / манипулятор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Гидравлическая кран-балка с поворотной стрелой для спуска и подъёма погружного оборудования: батометров, дночерпателя, сеток Джеди и ТНПА.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Лебедка.png" descr="Лебедка.png" title="Лебедка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3. Лебёдки и тросы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Лебёдочное оборудование для спуска и подъёма научных приборов на заданные горизонты. Комплектация включает главную и вспомогательную лебёдки.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спасательные плоты 3.png" descr="спасательные плоты 3.png" title="спасательные плоты 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4. Спасательные плоты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Надувные спасательные плоты в контейнерах, размещённые на палубе согласно требованиям Регистра. Автоматическое раскрытие при аварийной ситуации.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1333500"/>
                  <wp:effectExtent t="0" r="0" b="0" l="0"/>
                  <wp:docPr id="1" name="Баки топливные.png" descr="Баки топливные.png" title="Баки топливные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02D"/>
                <w:sz w:val="24"/>
                <w:szCs w:val="24"/>
              </w:rPr>
              <w:t xml:space="preserve">5. Топливные баки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5A6774"/>
                <w:sz w:val="20"/>
                <w:szCs w:val="20"/>
              </w:rPr>
              <w:t xml:space="preserve">Палубные топливные баки различного литража для дизельного топлива. Объём подбирается под дальность буксировки и продолжительность работ.</w:t>
            </w:r>
          </w:p>
        </w:tc>
      </w:tr>
    </w:tbl>
    <w:p>
      <w:pPr>
        <w:spacing w:before="200"/>
      </w:pPr>
    </w:p>
    <w:p>
      <w:pPr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Каталог 2.png" descr="Каталог 2.png" title="Каталог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ПОКРЫТИЕ ЗАДАЧ ЗАКАЗЧИКА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Применение в задачах </w:t>
      </w:r>
      <w:r>
        <w:rPr>
          <w:rFonts w:ascii="Arial" w:cs="Arial" w:eastAsia="Arial" w:hAnsi="Arial"/>
          <w:b/>
          <w:bCs/>
          <w:color w:val="1B6FA8"/>
          <w:sz w:val="40"/>
          <w:szCs w:val="40"/>
        </w:rPr>
        <w:t xml:space="preserve">нефтегазовой отрасли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38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22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22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Оборудование</w:t>
            </w:r>
          </w:p>
        </w:tc>
        <w:tc>
          <w:tcPr>
            <w:tcW w:type="dxa" w:w="3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22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Возможности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202D"/>
                <w:sz w:val="18"/>
                <w:szCs w:val="18"/>
              </w:rPr>
              <w:t xml:space="preserve">Гидрохимический мониторинг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18"/>
                <w:szCs w:val="18"/>
              </w:rPr>
              <w:t xml:space="preserve">Кассета с батометрами</w:t>
            </w:r>
          </w:p>
        </w:tc>
        <w:tc>
          <w:tcPr>
            <w:tcW w:type="dxa" w:w="3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A6774"/>
                <w:sz w:val="18"/>
                <w:szCs w:val="18"/>
              </w:rPr>
              <w:t xml:space="preserve">Отбор проб воды на различных горизонтах, координатная привязка через DP1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202D"/>
                <w:sz w:val="18"/>
                <w:szCs w:val="18"/>
              </w:rPr>
              <w:t xml:space="preserve">Геохимический отбор проб грунта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18"/>
                <w:szCs w:val="18"/>
              </w:rPr>
              <w:t xml:space="preserve">Дночерпатель</w:t>
            </w:r>
          </w:p>
        </w:tc>
        <w:tc>
          <w:tcPr>
            <w:tcW w:type="dxa" w:w="3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A6774"/>
                <w:sz w:val="18"/>
                <w:szCs w:val="18"/>
              </w:rPr>
              <w:t xml:space="preserve">Ненарушенные образцы донных отложений, геохимический анализ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202D"/>
                <w:sz w:val="18"/>
                <w:szCs w:val="18"/>
              </w:rPr>
              <w:t xml:space="preserve">Биомониторинг планктона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18"/>
                <w:szCs w:val="18"/>
              </w:rPr>
              <w:t xml:space="preserve">Сетки Джеди</w:t>
            </w:r>
          </w:p>
        </w:tc>
        <w:tc>
          <w:tcPr>
            <w:tcW w:type="dxa" w:w="3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A6774"/>
                <w:sz w:val="18"/>
                <w:szCs w:val="18"/>
              </w:rPr>
              <w:t xml:space="preserve">Отбор проб планктона, серийный отбор на станциях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202D"/>
                <w:sz w:val="18"/>
                <w:szCs w:val="18"/>
              </w:rPr>
              <w:t xml:space="preserve">Визуальный осмотр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18"/>
                <w:szCs w:val="18"/>
              </w:rPr>
              <w:t xml:space="preserve">ТНПА (ROV)</w:t>
            </w:r>
          </w:p>
        </w:tc>
        <w:tc>
          <w:tcPr>
            <w:tcW w:type="dxa" w:w="3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A6774"/>
                <w:sz w:val="18"/>
                <w:szCs w:val="18"/>
              </w:rPr>
              <w:t xml:space="preserve">Управление из рубки, видеосъёмка, инспекция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202D"/>
                <w:sz w:val="18"/>
                <w:szCs w:val="18"/>
              </w:rPr>
              <w:t xml:space="preserve">Экомониторинг скважин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18"/>
                <w:szCs w:val="18"/>
              </w:rPr>
              <w:t xml:space="preserve">Батометры + Дночерпатель</w:t>
            </w:r>
          </w:p>
        </w:tc>
        <w:tc>
          <w:tcPr>
            <w:tcW w:type="dxa" w:w="3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A6774"/>
                <w:sz w:val="18"/>
                <w:szCs w:val="18"/>
              </w:rPr>
              <w:t xml:space="preserve">Комплексный отбор проб воды и грунта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202D"/>
                <w:sz w:val="18"/>
                <w:szCs w:val="18"/>
              </w:rPr>
              <w:t xml:space="preserve">Комплексные исследования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18"/>
                <w:szCs w:val="18"/>
              </w:rPr>
              <w:t xml:space="preserve">Батометры + Джеди + ТНПА</w:t>
            </w:r>
          </w:p>
        </w:tc>
        <w:tc>
          <w:tcPr>
            <w:tcW w:type="dxa" w:w="38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A6774"/>
                <w:sz w:val="18"/>
                <w:szCs w:val="18"/>
              </w:rPr>
              <w:t xml:space="preserve">Полный цикл за один выход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ОБЛАСТИ ПРИМЕНЕНИЯ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Где работает </w:t>
      </w:r>
      <w:r>
        <w:rPr>
          <w:rFonts w:ascii="Arial" w:cs="Arial" w:eastAsia="Arial" w:hAnsi="Arial"/>
          <w:b/>
          <w:bCs/>
          <w:color w:val="E05206"/>
          <w:sz w:val="40"/>
          <w:szCs w:val="40"/>
        </w:rPr>
        <w:t xml:space="preserve">MSV-11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2202D"/>
          <w:sz w:val="24"/>
          <w:szCs w:val="24"/>
        </w:rPr>
        <w:t xml:space="preserve">Экологический мониторинг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Отбор проб воды батометрами, грунта дночерпателем для экологической оценки акваторий.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2202D"/>
          <w:sz w:val="24"/>
          <w:szCs w:val="24"/>
        </w:rPr>
        <w:t xml:space="preserve">Гидрохимические исследования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Комплексный отбор проб воды на различных горизонтах с координатной привязкой через DP1.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2202D"/>
          <w:sz w:val="24"/>
          <w:szCs w:val="24"/>
        </w:rPr>
        <w:t xml:space="preserve">Планктонные исследования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Отбор проб планктона сетками Джеди для биологического мониторинга водной толщи.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2202D"/>
          <w:sz w:val="24"/>
          <w:szCs w:val="24"/>
        </w:rPr>
        <w:t xml:space="preserve">Работа с ТНПА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Визуальный осмотр подводных объектов и инспекция оборудования с управлением из рубки.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2202D"/>
          <w:sz w:val="24"/>
          <w:szCs w:val="24"/>
        </w:rPr>
        <w:t xml:space="preserve">Мониторинг скважин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Производственный экологический мониторинг и контроль морских скважин нефтегазового сектора.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2202D"/>
          <w:sz w:val="24"/>
          <w:szCs w:val="24"/>
        </w:rPr>
        <w:t xml:space="preserve">Геохимическая разведка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Высокоточный отбор геохимических проб с точностью 1–1,5 метра благодаря DP1.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ПОЧЕМУ МЫ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ГК «Лабораторный кластер» — </w:t>
      </w:r>
      <w:r>
        <w:rPr>
          <w:rFonts w:ascii="Arial" w:cs="Arial" w:eastAsia="Arial" w:hAnsi="Arial"/>
          <w:b/>
          <w:bCs/>
          <w:color w:val="1B6FA8"/>
          <w:sz w:val="40"/>
          <w:szCs w:val="40"/>
        </w:rPr>
        <w:t xml:space="preserve">идеальный партнёр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Самая крупная частная экологическая лаборатория в стране, занимающаяся преимущественно работами в рамках производственного экологического мониторинга и контроля морских скважин.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Собственный научный флот — 6 единиц (3 из них работает в Арктике) + отдел технической эксплуатации флота.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Собственный технический отдел, занимающийся разработкой и аттестацией лабораторного оборудования.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Отдел метрологии и качества, способный разработать и аттестовать собственные методики по отбору проб с MSV-11.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Разработчики собственной лабораторной программы АЛАБ, не имеющей аналогов в РФ.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ДОРОЖНАЯ КАРТА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Этапы реализации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5206"/>
          <w:sz w:val="26"/>
          <w:szCs w:val="26"/>
        </w:rPr>
        <w:t xml:space="preserve">Этап 1. </w:t>
      </w:r>
      <w:r>
        <w:rPr>
          <w:rFonts w:ascii="Arial" w:cs="Arial" w:eastAsia="Arial" w:hAnsi="Arial"/>
          <w:b/>
          <w:bCs/>
          <w:color w:val="12202D"/>
          <w:sz w:val="26"/>
          <w:szCs w:val="26"/>
        </w:rPr>
        <w:t xml:space="preserve">Проектирование (3–4 месяца)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Рабочая КД, 3D-модель, ТЭО и согласование с РМРС.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5206"/>
          <w:sz w:val="26"/>
          <w:szCs w:val="26"/>
        </w:rPr>
        <w:t xml:space="preserve">Этап 2. </w:t>
      </w:r>
      <w:r>
        <w:rPr>
          <w:rFonts w:ascii="Arial" w:cs="Arial" w:eastAsia="Arial" w:hAnsi="Arial"/>
          <w:b/>
          <w:bCs/>
          <w:color w:val="12202D"/>
          <w:sz w:val="26"/>
          <w:szCs w:val="26"/>
        </w:rPr>
        <w:t xml:space="preserve">Постройка прототипа (4–6 месяцев)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Алюминиевый корпус с пенопластом, рубка, подвесные двигатели, подрульки, система DP1 и палубное оборудование.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05206"/>
          <w:sz w:val="26"/>
          <w:szCs w:val="26"/>
        </w:rPr>
        <w:t xml:space="preserve">Этап 3. </w:t>
      </w:r>
      <w:r>
        <w:rPr>
          <w:rFonts w:ascii="Arial" w:cs="Arial" w:eastAsia="Arial" w:hAnsi="Arial"/>
          <w:b/>
          <w:bCs/>
          <w:color w:val="12202D"/>
          <w:sz w:val="26"/>
          <w:szCs w:val="26"/>
        </w:rPr>
        <w:t xml:space="preserve">Испытания и сертификация (2–3 месяца)</w:t>
      </w:r>
    </w:p>
    <w:p>
      <w:pPr>
        <w:spacing w:after="100" w:before="60" w:line="276"/>
        <w:jc w:val="left"/>
      </w:pPr>
      <w:r>
        <w:rPr>
          <w:rFonts w:ascii="Arial" w:cs="Arial" w:eastAsia="Arial" w:hAnsi="Arial"/>
          <w:color w:val="5A6774"/>
          <w:sz w:val="22"/>
          <w:szCs w:val="22"/>
        </w:rPr>
        <w:t xml:space="preserve">Ходовые тесты, проверка DP1, буксировка и палубные работы.</w:t>
      </w:r>
    </w:p>
    <w:p>
      <w:pPr>
        <w:pBdr>
          <w:top w:val="single" w:color="E05206" w:sz="6" w:space="8"/>
        </w:pBdr>
        <w:spacing w:before="240"/>
      </w:pPr>
      <w:r>
        <w:rPr>
          <w:rFonts w:ascii="Arial" w:cs="Arial" w:eastAsia="Arial" w:hAnsi="Arial"/>
          <w:b/>
          <w:bCs/>
          <w:color w:val="E05206"/>
          <w:sz w:val="28"/>
          <w:szCs w:val="28"/>
        </w:rPr>
        <w:t xml:space="preserve">Итого до ходовых тестов: 10–12 месяцев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05206"/>
          <w:spacing w:val="80"/>
          <w:sz w:val="18"/>
          <w:szCs w:val="18"/>
        </w:rPr>
        <w:t xml:space="preserve">КОНТАКТЫ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2202D"/>
          <w:sz w:val="40"/>
          <w:szCs w:val="40"/>
        </w:rPr>
        <w:t xml:space="preserve">Контакты команды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2"/>
                <w:szCs w:val="22"/>
              </w:rPr>
              <w:t xml:space="preserve">Контактное лицо</w:t>
            </w:r>
          </w:p>
        </w:tc>
        <w:tc>
          <w:tcPr>
            <w:tcW w:type="dxa" w:w="64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2"/>
                <w:szCs w:val="22"/>
              </w:rPr>
              <w:t xml:space="preserve">Нейра Филипп Георгиевич, Учредитель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64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2"/>
                <w:szCs w:val="22"/>
              </w:rPr>
              <w:t xml:space="preserve">ГК «Лабораторный кластер» · labcluster.ru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2"/>
                <w:szCs w:val="22"/>
              </w:rPr>
              <w:t xml:space="preserve">Адрес</w:t>
            </w:r>
          </w:p>
        </w:tc>
        <w:tc>
          <w:tcPr>
            <w:tcW w:type="dxa" w:w="64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2"/>
                <w:szCs w:val="22"/>
              </w:rPr>
              <w:t xml:space="preserve">195112, г. Санкт-Петербург, Заневский пр., д. 54, к.5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2"/>
                <w:szCs w:val="22"/>
              </w:rPr>
              <w:t xml:space="preserve">Email</w:t>
            </w:r>
          </w:p>
        </w:tc>
        <w:tc>
          <w:tcPr>
            <w:tcW w:type="dxa" w:w="64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2"/>
                <w:szCs w:val="22"/>
              </w:rPr>
              <w:t xml:space="preserve">neira@labcluster.ru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2"/>
                <w:szCs w:val="22"/>
              </w:rPr>
              <w:t xml:space="preserve">Мобильный</w:t>
            </w:r>
          </w:p>
        </w:tc>
        <w:tc>
          <w:tcPr>
            <w:tcW w:type="dxa" w:w="64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2"/>
                <w:szCs w:val="22"/>
              </w:rPr>
              <w:t xml:space="preserve">+7 911 299-95-86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202D"/>
                <w:sz w:val="22"/>
                <w:szCs w:val="22"/>
              </w:rPr>
              <w:t xml:space="preserve">Офис</w:t>
            </w:r>
          </w:p>
        </w:tc>
        <w:tc>
          <w:tcPr>
            <w:tcW w:type="dxa" w:w="643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A6774"/>
                <w:sz w:val="22"/>
                <w:szCs w:val="22"/>
              </w:rPr>
              <w:t xml:space="preserve">+7 (812) 363-08-08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774"/>
        <w:sz w:val="16"/>
        <w:szCs w:val="16"/>
      </w:rPr>
      <w:t xml:space="preserve">MSV-11 Project Presentation  |  </w:t>
    </w:r>
    <w:r>
      <w:rPr>
        <w:rFonts w:ascii="Arial" w:cs="Arial" w:eastAsia="Arial" w:hAnsi="Arial"/>
        <w:color w:val="5A67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2" w:space="4"/>
      </w:pBdr>
      <w:tabs>
        <w:tab w:val="right" w:pos="9026"/>
      </w:tabs>
    </w:pPr>
    <w:r>
      <w:rPr>
        <w:rFonts w:ascii="Arial" w:cs="Arial" w:eastAsia="Arial" w:hAnsi="Arial"/>
        <w:color w:val="5A6774"/>
        <w:sz w:val="16"/>
        <w:szCs w:val="16"/>
      </w:rPr>
      <w:t xml:space="preserve">MSV-11 — Технический паспорт</w:t>
    </w:r>
    <w:r>
      <w:rPr>
        <w:rFonts w:ascii="Arial" w:cs="Arial" w:eastAsia="Arial" w:hAnsi="Arial"/>
        <w:color w:val="5A6774"/>
        <w:sz w:val="16"/>
        <w:szCs w:val="16"/>
      </w:rPr>
      <w:t xml:space="preserve">	labcluster.ru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2202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180"/>
      <w:outlineLvl w:val="1"/>
    </w:pPr>
    <w:rPr>
      <w:rFonts w:ascii="Arial" w:cs="Arial" w:eastAsia="Arial" w:hAnsi="Arial"/>
      <w:b/>
      <w:bCs/>
      <w:color w:val="12202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93be2a3937de84fd35a20f5dc96b53eff65ce9.jpg"/><Relationship Id="rId10" Type="http://schemas.openxmlformats.org/officeDocument/2006/relationships/image" Target="media/ebd8eaf1c8fedb5cf139056199464f48ec8d497b.jpg"/><Relationship Id="rId11" Type="http://schemas.openxmlformats.org/officeDocument/2006/relationships/image" Target="media/2fa618251d09146796715c5e97567b7c73c69b75.jpg"/><Relationship Id="rId12" Type="http://schemas.openxmlformats.org/officeDocument/2006/relationships/image" Target="media/720110fba8c013e58c35432b98443f49374efc4d.jpg"/><Relationship Id="rId13" Type="http://schemas.openxmlformats.org/officeDocument/2006/relationships/image" Target="media/3739259b7b2c4a8cf3a88f19f1a3869cbefc81cc.jpg"/><Relationship Id="rId14" Type="http://schemas.openxmlformats.org/officeDocument/2006/relationships/image" Target="media/9c8d532085c1bc17f19b30d32df1d6918d0dea63.jpg"/><Relationship Id="rId15" Type="http://schemas.openxmlformats.org/officeDocument/2006/relationships/image" Target="media/49bd00a3e665d68ffd911c15e888871ec12ebff7.jpg"/><Relationship Id="rId16" Type="http://schemas.openxmlformats.org/officeDocument/2006/relationships/image" Target="media/94f493378f13767bee4e662b3a1d1b2baac071a8.jpg"/><Relationship Id="rId17" Type="http://schemas.openxmlformats.org/officeDocument/2006/relationships/image" Target="media/e7f19318a75179c84cf1014e479b178c8ccc6945.jpg"/><Relationship Id="rId18" Type="http://schemas.openxmlformats.org/officeDocument/2006/relationships/image" Target="media/c05ad548d7627a625e1d8b7814c015941f12e09e.jpg"/><Relationship Id="rId19" Type="http://schemas.openxmlformats.org/officeDocument/2006/relationships/image" Target="media/cef0f2875f6d32ae4bd168333007a295efffdb98.jpg"/><Relationship Id="rId20" Type="http://schemas.openxmlformats.org/officeDocument/2006/relationships/image" Target="media/c958b4bd4de4ec0528e65e8f80989d3e3897b27e.jpg"/><Relationship Id="rId21" Type="http://schemas.openxmlformats.org/officeDocument/2006/relationships/image" Target="media/4ae3e8717a661879c6c14e5b73e19f9e6aaeecbe.jpg"/><Relationship Id="rId22" Type="http://schemas.openxmlformats.org/officeDocument/2006/relationships/image" Target="media/72aa12b21bd2828c2d81747c94f0f8e111e45ff5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2026-03-29T19:38:43.395Z</dcterms:created>
  <dcterms:modified xsi:type="dcterms:W3CDTF">2026-03-29T19:38:43.395Z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