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pBdr>
          <w:bottom w:val="single" w:color="E05206" w:sz="6" w:space="1"/>
        </w:pBdr>
        <w:spacing w:after="12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E05206"/>
          <w:sz w:val="56"/>
          <w:szCs w:val="56"/>
        </w:rPr>
        <w:t xml:space="preserve">Multi-System Vessel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B2A38"/>
          <w:sz w:val="72"/>
          <w:szCs w:val="72"/>
        </w:rPr>
        <w:t xml:space="preserve">MSV-11</w:t>
      </w:r>
    </w:p>
    <w:p>
      <w:pPr>
        <w:spacing w:after="200"/>
      </w:pPr>
      <w:r>
        <w:rPr>
          <w:rFonts w:ascii="Arial" w:cs="Arial" w:eastAsia="Arial" w:hAnsi="Arial"/>
          <w:color w:val="5A6370"/>
          <w:sz w:val="22"/>
          <w:szCs w:val="22"/>
        </w:rPr>
        <w:t xml:space="preserve">Многосистемная морская платформа с динамическим позиционированием DP1, рубкой на 3 человека и неограниченным районом плавания.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32"/>
                <w:szCs w:val="32"/>
              </w:rPr>
              <w:t xml:space="preserve">11 м</w:t>
            </w:r>
          </w:p>
          <w:p>
            <w:r>
              <w:rPr>
                <w:rFonts w:ascii="Arial" w:cs="Arial" w:eastAsia="Arial" w:hAnsi="Arial"/>
                <w:color w:val="5A6370"/>
                <w:sz w:val="14"/>
                <w:szCs w:val="14"/>
              </w:rPr>
              <w:t xml:space="preserve">Длина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32"/>
                <w:szCs w:val="32"/>
              </w:rPr>
              <w:t xml:space="preserve">3 чел.</w:t>
            </w:r>
          </w:p>
          <w:p>
            <w:r>
              <w:rPr>
                <w:rFonts w:ascii="Arial" w:cs="Arial" w:eastAsia="Arial" w:hAnsi="Arial"/>
                <w:color w:val="5A6370"/>
                <w:sz w:val="14"/>
                <w:szCs w:val="14"/>
              </w:rPr>
              <w:t xml:space="preserve">Экипаж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32"/>
                <w:szCs w:val="32"/>
              </w:rPr>
              <w:t xml:space="preserve">DP1</w:t>
            </w:r>
          </w:p>
          <w:p>
            <w:r>
              <w:rPr>
                <w:rFonts w:ascii="Arial" w:cs="Arial" w:eastAsia="Arial" w:hAnsi="Arial"/>
                <w:color w:val="5A6370"/>
                <w:sz w:val="14"/>
                <w:szCs w:val="14"/>
              </w:rPr>
              <w:t xml:space="preserve">Позиционирование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32"/>
                <w:szCs w:val="32"/>
              </w:rPr>
              <w:t xml:space="preserve">2×300 л/с</w:t>
            </w:r>
          </w:p>
          <w:p>
            <w:r>
              <w:rPr>
                <w:rFonts w:ascii="Arial" w:cs="Arial" w:eastAsia="Arial" w:hAnsi="Arial"/>
                <w:color w:val="5A6370"/>
                <w:sz w:val="14"/>
                <w:szCs w:val="14"/>
              </w:rPr>
              <w:t xml:space="preserve">Двигатели</w:t>
            </w:r>
          </w:p>
        </w:tc>
      </w:tr>
    </w:tbl>
    <w:p>
      <w:pPr>
        <w:spacing w:before="600"/>
      </w:pPr>
    </w:p>
    <w:p>
      <w:r>
        <w:drawing>
          <wp:inline distT="0" distB="0" distL="0" distR="0">
            <wp:extent cx="3810000" cy="3810000"/>
            <wp:effectExtent t="0" r="0" b="0" l="0"/>
            <wp:docPr id="1" name="hero" descr="MSV-11 main view" title="MSV-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</w:pPr>
    </w:p>
    <w:p>
      <w:r>
        <w:rPr>
          <w:rFonts w:ascii="Arial" w:cs="Arial" w:eastAsia="Arial" w:hAnsi="Arial"/>
          <w:color w:val="5A6370"/>
          <w:sz w:val="16"/>
          <w:szCs w:val="16"/>
        </w:rPr>
        <w:t xml:space="preserve">ГК «Лабораторный кластер»  |  labcluster.ru  |  2026</w:t>
      </w:r>
    </w:p>
    <w:p>
      <w:pPr>
        <w:sectPr>
          <w:pgSz w:w="12240" w:h="15840" w:orient="portrait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КОНЦЕПЦИЯ И ЗАДАЧА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Морские исследования требуют точности и присутствия людей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MSV-11 — многосистемная морская платформа с динамическим позиционированием DP1, рубкой на 3 человека и неограниченным районом плавания. Буксируется материнским судном к месту работ для проведения точных исследовательских операций.</w:t>
      </w:r>
    </w:p>
    <w:p>
      <w:pPr>
        <w:pStyle w:val="Heading3"/>
      </w:pPr>
      <w:r>
        <w:rPr>
          <w:b/>
          <w:bCs/>
        </w:rPr>
        <w:t xml:space="preserve">Задачи, требующие присутствия людей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Сложный пробоотбор — отбор проб воды батометрами, грунта дночерпателем, планктона сетками Джеди и управление ТНПА требуют присутствия специалистов на судне.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Точное позиционирование — для спуска погружного оборудования необходимо динамическое позиционирование с высокой точностью.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Работа с материнского судна — катамаран буксируется в район работ, что позволяет получить неограниченный район плавания.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Безопасность экипажа — палуба оборудована релингами, страховочными тросами и спасательными кругами.</w:t>
      </w:r>
    </w:p>
    <w:p>
      <w:pPr>
        <w:pStyle w:val="Heading3"/>
      </w:pPr>
      <w:r>
        <w:rPr>
          <w:b/>
          <w:bCs/>
        </w:rPr>
        <w:t xml:space="preserve">Решение — MSV-11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Рубка на 3 человека: капитан, оператор ТНПА, пробоотборщик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Алюминиевый корпус с заполнением пенопластом — непотопляемость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Неограниченный район плавания по корпусу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Два подвесных двигателя по 300 л/с каждый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Два подруливающих устройства для точного маневрирования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Система динамического позиционирования DP1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Топливные баки и генератор на палубе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Буксировка материнским судном в район работ</w:t>
      </w:r>
    </w:p>
    <w:p>
      <w:r>
        <w:br w:type="pag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ТЕХНИЧЕСКИЕ ХАРАКТЕРИСТИКИ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Ключевые ТТХ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1B2A3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1B2A3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Тип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Multi-System Vessel с DP1 (MSV)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Длина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11 м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Корпус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Алюминиевый, заполнен пенопластом — непотопляемость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Район плавания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Неограниченный (по корпусу)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Экипаж / рубка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 человека (капитан, оператор ТНПА, пробоотборщик)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Движители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 подвесных двигателя × 300 л/с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Подруливающие устройства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 шт. для точного маневрирования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Позиционирование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Система динамического позиционирования DP1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Топливные баки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Расположены на палубе (возможны плоские)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Генератор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 шт. дизель-генератор на палубе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Доставка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Буксировка материнским судном в район работ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Жилые помещения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Нет (без спальных мест и санузла)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Палуба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Оборудована: релинги, страховочные тросы, спасательные круги</w:t>
            </w:r>
          </w:p>
        </w:tc>
      </w:tr>
      <w:tr>
        <w:tc>
          <w:tcPr>
            <w:tcW w:type="dxa" w:w="33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Погружное оборудование</w:t>
            </w:r>
          </w:p>
        </w:tc>
        <w:tc>
          <w:tcPr>
            <w:tcW w:type="dxa" w:w="60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Кассета с батометрами, дночерпатель, сетки Джеди, ТНПА</w:t>
            </w:r>
          </w:p>
        </w:tc>
      </w:tr>
    </w:tbl>
    <w:p>
      <w:r>
        <w:br w:type="pag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ПРЕИМУЩЕСТВА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Почему MSV-11 отличается</w:t>
      </w:r>
    </w:p>
    <w:p>
      <w:pPr>
        <w:pStyle w:val="Heading3"/>
      </w:pPr>
      <w:r>
        <w:rPr>
          <w:b/>
          <w:bCs/>
        </w:rPr>
        <w:t xml:space="preserve">Динамическое позиционирование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Система DP1 с двумя подрульками обеспечивает точное удержание катамарана в заданной точке при спуске оборудования и работе ТНПА.</w:t>
      </w:r>
    </w:p>
    <w:p>
      <w:pPr>
        <w:pStyle w:val="Heading3"/>
      </w:pPr>
      <w:r>
        <w:rPr>
          <w:b/>
          <w:bCs/>
        </w:rPr>
        <w:t xml:space="preserve">Непотопляемость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Алюминиевый корпус заполнен пенопластом, что гарантирует непотопляемость и позволяет получить неограниченный район плавания.</w:t>
      </w:r>
    </w:p>
    <w:p>
      <w:pPr>
        <w:pStyle w:val="Heading3"/>
      </w:pPr>
      <w:r>
        <w:rPr>
          <w:b/>
          <w:bCs/>
        </w:rPr>
        <w:t xml:space="preserve">Научная платформа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Рубка на 3 человека, палуба оборудована для работ с погружным оборудованием: батометры, дночерпатель, сетки Джеди, ТНПА.</w:t>
      </w:r>
    </w:p>
    <w:p>
      <w:pPr>
        <w:pStyle w:val="Heading3"/>
      </w:pPr>
      <w:r>
        <w:rPr>
          <w:b/>
          <w:bCs/>
        </w:rPr>
        <w:t xml:space="preserve">Буксировка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Катамаран буксируется материнским судном в район работ, что снижает требования к собственной автономности и топливным запасам.</w:t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ПОЗИЦИОНИРОВАНИЕ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Система динамического позиционирования класса 1 (DP1)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MSV-11 оснащается системой динамического позиционирования класса 1 (DP1) с двумя подруливающими устройствами, которая удерживает катамаран в заданной точке при спуске погружного оборудования и работе ТНПА.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Точное удержание точки — DP1 обеспечивает стабильное позиционирование при работе с батометрами, дночерпателем и управлении ТНПА.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Два подруливающих устройства — обеспечивают точное маневрирование и удержание курса при воздействии ветра, течения и волнения.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Работа ТНПА — точное позиционирование критично для управления подводным аппаратом из рубки катамарана.</w:t>
      </w:r>
    </w:p>
    <w:p>
      <w:r>
        <w:br w:type="pag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МОДУЛЬНАЯ АРХИТЕКТУРА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5 типов сменного оборудования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MSV-11 — обитаемая исследовательская платформа. С катамарана опускается погружное оборудование для выполнения морских научных работ, а оператор ТНПА управляет аппаратом непосредственно из рубки.</w:t>
      </w:r>
    </w:p>
    <w:p>
      <w:pPr>
        <w:pStyle w:val="Heading3"/>
      </w:pPr>
      <w:r>
        <w:rPr>
          <w:b/>
          <w:bCs/>
        </w:rPr>
        <w:t xml:space="preserve">1. Экология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Модуль для экологического мониторинга и комплексного отбора проб воды и грунта с координатной привязкой. Позволяет оперативно проводить экологические исследования в одной миссии с другими модулями.</w:t>
      </w:r>
    </w:p>
    <w:p>
      <w:pPr>
        <w:pStyle w:val="Heading3"/>
      </w:pPr>
      <w:r>
        <w:rPr>
          <w:b/>
          <w:bCs/>
        </w:rPr>
        <w:t xml:space="preserve">2. Океанологический / доплеровский профилограф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Доплеровский профилограф измеряет скорость и направление течений по глубине, помогает анализировать структуру водной толщи и оперативно получать океанологические данные.</w:t>
      </w:r>
    </w:p>
    <w:p>
      <w:pPr>
        <w:pStyle w:val="Heading3"/>
      </w:pPr>
      <w:r>
        <w:rPr>
          <w:b/>
          <w:bCs/>
        </w:rPr>
        <w:t xml:space="preserve">3. ROV / ТНПА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Спуск и подъем ROV массой до 200 кг через раздвижной пандус кассеты. MSV-11 выступает ретранслятором связи и навигационной привязкой для аппарата.</w:t>
      </w:r>
    </w:p>
    <w:p>
      <w:pPr>
        <w:pStyle w:val="Heading3"/>
      </w:pPr>
      <w:r>
        <w:rPr>
          <w:b/>
          <w:bCs/>
        </w:rPr>
        <w:t xml:space="preserve">4. Планктон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Модуль для отбора проб планктона разного типа в толще воды. Позволяет проводить биологический мониторинг, изучать распределение планктона и выполнять серийный отбор проб.</w:t>
      </w:r>
    </w:p>
    <w:p>
      <w:pPr>
        <w:pStyle w:val="Heading3"/>
      </w:pPr>
      <w:r>
        <w:rPr>
          <w:b/>
          <w:bCs/>
        </w:rPr>
        <w:t xml:space="preserve">5. Буксируемые системы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Буксировка гидроакустических и геофизических систем: гидролокатор бокового обзора (ГБО), субдонный профилограф, магнитометр, сейсмическая коса.</w:t>
      </w:r>
    </w:p>
    <w:p>
      <w:r>
        <w:br w:type="pag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ДОПОЛНИТЕЛЬНОЕ ОБОРУДОВАНИЕ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Палубное оснащение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MSV-11 комплектуется палубным оборудованием для безопасного проведения исследовательских работ в открытом море. Конфигурация подбирается под задачи конкретной экспедиции.</w:t>
      </w:r>
    </w:p>
    <w:p>
      <w:pPr>
        <w:pStyle w:val="Heading3"/>
      </w:pPr>
      <w:r>
        <w:rPr>
          <w:b/>
          <w:bCs/>
        </w:rPr>
        <w:t xml:space="preserve">1. П-образная арка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Силовая П-образная арка на корме катамарана. Служит опорной конструкцией для крепления антенн, навигационных огней, прожекторов и дополнительного оборудования.</w:t>
      </w:r>
    </w:p>
    <w:p>
      <w:pPr>
        <w:pStyle w:val="Heading3"/>
      </w:pPr>
      <w:r>
        <w:rPr>
          <w:b/>
          <w:bCs/>
        </w:rPr>
        <w:t xml:space="preserve">2. Кран-балка / манипулятор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Гидравлическая кран-балка с поворотной стрелой для спуска и подъема погружного оборудования: батометров, дночерпателя, сеток Джеди и ТНПА.</w:t>
      </w:r>
    </w:p>
    <w:p>
      <w:pPr>
        <w:pStyle w:val="Heading3"/>
      </w:pPr>
      <w:r>
        <w:rPr>
          <w:b/>
          <w:bCs/>
        </w:rPr>
        <w:t xml:space="preserve">3. Лебедки и тросы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Лебедочное оборудование для спуска и подъема научных приборов на заданные горизонты. Комплектация включает главную и вспомогательную лебедки.</w:t>
      </w:r>
    </w:p>
    <w:p>
      <w:pPr>
        <w:pStyle w:val="Heading3"/>
      </w:pPr>
      <w:r>
        <w:rPr>
          <w:b/>
          <w:bCs/>
        </w:rPr>
        <w:t xml:space="preserve">4. Спасательные плоты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Надувные спасательные плоты в контейнерах, размещенные на палубе согласно требованиям Регистра. Автоматическое раскрытие при аварийной ситуации.</w:t>
      </w:r>
    </w:p>
    <w:p>
      <w:pPr>
        <w:pStyle w:val="Heading3"/>
      </w:pPr>
      <w:r>
        <w:rPr>
          <w:b/>
          <w:bCs/>
        </w:rPr>
        <w:t xml:space="preserve">5. Топливные баки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Палубные топливные баки различного литража для дизельного топлива. Объем подбирается под дальность буксировки и продолжительность работ.</w:t>
      </w:r>
    </w:p>
    <w:p>
      <w:r>
        <w:br w:type="pag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ПОКРЫТИЕ ЗАДАЧ ЗАКАЗЧИКА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Применение в задачах нефтегазовой отрасли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Сводная таблица соответствия оборудования MSV-11 типовым задачам морских исследований.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c>
          <w:tcPr>
            <w:tcW w:type="dxa" w:w="26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1B2A3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28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1B2A3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Оборудование MSV-11</w:t>
            </w:r>
          </w:p>
        </w:tc>
        <w:tc>
          <w:tcPr>
            <w:tcW w:type="dxa" w:w="39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1B2A3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возможности</w:t>
            </w:r>
          </w:p>
        </w:tc>
      </w:tr>
      <w:tr>
        <w:tc>
          <w:tcPr>
            <w:tcW w:type="dxa" w:w="26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Гидрохимический мониторинг</w:t>
            </w:r>
          </w:p>
        </w:tc>
        <w:tc>
          <w:tcPr>
            <w:tcW w:type="dxa" w:w="28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17"/>
                <w:szCs w:val="17"/>
              </w:rPr>
              <w:t xml:space="preserve">Кассета с батометрами</w:t>
            </w:r>
          </w:p>
        </w:tc>
        <w:tc>
          <w:tcPr>
            <w:tcW w:type="dxa" w:w="39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Отбор проб воды на различных горизонтах, координатная привязка через DP1</w:t>
            </w:r>
          </w:p>
        </w:tc>
      </w:tr>
      <w:tr>
        <w:tc>
          <w:tcPr>
            <w:tcW w:type="dxa" w:w="26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Геохимический отбор проб грунта</w:t>
            </w:r>
          </w:p>
        </w:tc>
        <w:tc>
          <w:tcPr>
            <w:tcW w:type="dxa" w:w="28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17"/>
                <w:szCs w:val="17"/>
              </w:rPr>
              <w:t xml:space="preserve">Дночерпатель</w:t>
            </w:r>
          </w:p>
        </w:tc>
        <w:tc>
          <w:tcPr>
            <w:tcW w:type="dxa" w:w="39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Ненарушенные образцы донных отложений, геохимический и экологический анализ</w:t>
            </w:r>
          </w:p>
        </w:tc>
      </w:tr>
      <w:tr>
        <w:tc>
          <w:tcPr>
            <w:tcW w:type="dxa" w:w="26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Биологический мониторинг планктона</w:t>
            </w:r>
          </w:p>
        </w:tc>
        <w:tc>
          <w:tcPr>
            <w:tcW w:type="dxa" w:w="28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17"/>
                <w:szCs w:val="17"/>
              </w:rPr>
              <w:t xml:space="preserve">Сетки Джеди</w:t>
            </w:r>
          </w:p>
        </w:tc>
        <w:tc>
          <w:tcPr>
            <w:tcW w:type="dxa" w:w="39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Отбор проб планктона из водной толщи, серийный отбор на станциях</w:t>
            </w:r>
          </w:p>
        </w:tc>
      </w:tr>
      <w:tr>
        <w:tc>
          <w:tcPr>
            <w:tcW w:type="dxa" w:w="26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Визуальный осмотр подводных объектов</w:t>
            </w:r>
          </w:p>
        </w:tc>
        <w:tc>
          <w:tcPr>
            <w:tcW w:type="dxa" w:w="28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17"/>
                <w:szCs w:val="17"/>
              </w:rPr>
              <w:t xml:space="preserve">ТНПА (ROV)</w:t>
            </w:r>
          </w:p>
        </w:tc>
        <w:tc>
          <w:tcPr>
            <w:tcW w:type="dxa" w:w="39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Управление из рубки, видеосъемка, инспекция оборудования</w:t>
            </w:r>
          </w:p>
        </w:tc>
      </w:tr>
      <w:tr>
        <w:tc>
          <w:tcPr>
            <w:tcW w:type="dxa" w:w="26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Экологический мониторинг скважин</w:t>
            </w:r>
          </w:p>
        </w:tc>
        <w:tc>
          <w:tcPr>
            <w:tcW w:type="dxa" w:w="28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17"/>
                <w:szCs w:val="17"/>
              </w:rPr>
              <w:t xml:space="preserve">Батометры + Дночерпатель</w:t>
            </w:r>
          </w:p>
        </w:tc>
        <w:tc>
          <w:tcPr>
            <w:tcW w:type="dxa" w:w="39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2F8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Комплексный отбор проб воды и грунта для экологической оценки</w:t>
            </w:r>
          </w:p>
        </w:tc>
      </w:tr>
      <w:tr>
        <w:tc>
          <w:tcPr>
            <w:tcW w:type="dxa" w:w="26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Комплексные морские исследования</w:t>
            </w:r>
          </w:p>
        </w:tc>
        <w:tc>
          <w:tcPr>
            <w:tcW w:type="dxa" w:w="280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05206"/>
                <w:sz w:val="17"/>
                <w:szCs w:val="17"/>
              </w:rPr>
              <w:t xml:space="preserve">Батометры + Сетки Джеди + ТНПА</w:t>
            </w:r>
          </w:p>
        </w:tc>
        <w:tc>
          <w:tcPr>
            <w:tcW w:type="dxa" w:w="3960"/>
            <w:tcBorders>
              <w:top w:val="single" w:color="DDE3EA" w:sz="1"/>
              <w:left w:val="single" w:color="DDE3EA" w:sz="1"/>
              <w:bottom w:val="single" w:color="DDE3EA" w:sz="1"/>
              <w:right w:val="single" w:color="DDE3EA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Полный цикл: гидрохимия, планктон, визуальный осмотр за один выход</w:t>
            </w:r>
          </w:p>
        </w:tc>
      </w:tr>
    </w:tbl>
    <w:p>
      <w:r>
        <w:br w:type="pag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ОБЛАСТИ ПРИМЕНЕНИЯ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Где работает MSV-11</w:t>
      </w:r>
    </w:p>
    <w:p>
      <w:pPr>
        <w:pStyle w:val="Heading3"/>
      </w:pPr>
      <w:r>
        <w:rPr>
          <w:b/>
          <w:bCs/>
        </w:rPr>
        <w:t xml:space="preserve">Экологический мониторинг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Отбор проб воды батометрами, грунта дночерпателем для экологической оценки акваторий.</w:t>
      </w:r>
    </w:p>
    <w:p>
      <w:pPr>
        <w:pStyle w:val="Heading3"/>
      </w:pPr>
      <w:r>
        <w:rPr>
          <w:b/>
          <w:bCs/>
        </w:rPr>
        <w:t xml:space="preserve">Гидрохимические исследования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Комплексный отбор проб воды на различных горизонтах с координатной привязкой через DP1.</w:t>
      </w:r>
    </w:p>
    <w:p>
      <w:pPr>
        <w:pStyle w:val="Heading3"/>
      </w:pPr>
      <w:r>
        <w:rPr>
          <w:b/>
          <w:bCs/>
        </w:rPr>
        <w:t xml:space="preserve">Планктонные исследования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Отбор проб планктона сетками Джеди для биологического мониторинга водной толщи.</w:t>
      </w:r>
    </w:p>
    <w:p>
      <w:pPr>
        <w:pStyle w:val="Heading3"/>
      </w:pPr>
      <w:r>
        <w:rPr>
          <w:b/>
          <w:bCs/>
        </w:rPr>
        <w:t xml:space="preserve">Работа с ТНПА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Визуальный осмотр подводных объектов и инспекция оборудования с управлением из рубки.</w:t>
      </w:r>
    </w:p>
    <w:p>
      <w:pPr>
        <w:pStyle w:val="Heading3"/>
      </w:pPr>
      <w:r>
        <w:rPr>
          <w:b/>
          <w:bCs/>
        </w:rPr>
        <w:t xml:space="preserve">Мониторинг скважин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Производственный экологический мониторинг и контроль морских скважин нефтегазового сектора.</w:t>
      </w:r>
    </w:p>
    <w:p>
      <w:pPr>
        <w:pStyle w:val="Heading3"/>
      </w:pPr>
      <w:r>
        <w:rPr>
          <w:b/>
          <w:bCs/>
        </w:rPr>
        <w:t xml:space="preserve">Геохимическая разведка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Высокоточный отбор геохимических проб с точностью 1-1,5 метра благодаря DP1.</w:t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ПОЧЕМУ МЫ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Почему ГК «Лабораторный кластер» — идеальный партнер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Самая крупная частная экологическая лаборатория в стране, занимающаяся преимущественно работами в рамках производственного экологического мониторинга и контроля морских скважин.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Собственный научный флот — 6 единиц (3 из них работает в Арктике) + отдел технической эксплуатации флота.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Собственный технический отдел, занимающийся разработкой и аттестацией лабораторного оборудования.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Отдел метрологии и качества, способный разработать и аттестовать собственные методики по отбору проб с MSV-11.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Разработчики собственной лабораторной программы АЛАБ, не имеющей аналогов в РФ.</w:t>
      </w:r>
    </w:p>
    <w:p>
      <w:r>
        <w:br w:type="page"/>
      </w: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ДОРОЖНАЯ КАРТА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Этапы реализации</w:t>
      </w:r>
    </w:p>
    <w:p>
      <w:pPr>
        <w:pStyle w:val="Heading3"/>
      </w:pPr>
      <w:r>
        <w:rPr>
          <w:b/>
          <w:bCs/>
        </w:rPr>
        <w:t xml:space="preserve">Этап 1. Проектирование (3-4 месяца)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Рабочая КД, 3D-модель, ТЭО и согласование с РМРС.</w:t>
      </w:r>
    </w:p>
    <w:p>
      <w:pPr>
        <w:pStyle w:val="Heading3"/>
      </w:pPr>
      <w:r>
        <w:rPr>
          <w:b/>
          <w:bCs/>
        </w:rPr>
        <w:t xml:space="preserve">Этап 2. Постройка прототипа (4-6 месяцев)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Алюминиевый корпус с пенопластом, рубка, подвесные двигатели, подрульки, система DP1 и палубное оборудование.</w:t>
      </w:r>
    </w:p>
    <w:p>
      <w:pPr>
        <w:pStyle w:val="Heading3"/>
      </w:pPr>
      <w:r>
        <w:rPr>
          <w:b/>
          <w:bCs/>
        </w:rPr>
        <w:t xml:space="preserve">Этап 3. Испытания и сертификация (2-3 месяца)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Ходовые тесты, проверка DP1, буксировка и палубные работы.</w:t>
      </w:r>
    </w:p>
    <w:p>
      <w:pPr>
        <w:pBdr>
          <w:top w:val="single" w:color="1B2A38" w:sz="4" w:space="8"/>
          <w:bottom w:val="single" w:color="1B2A38" w:sz="4" w:space="8"/>
        </w:pBdr>
        <w:spacing w:before="300"/>
        <w:jc w:val="center"/>
      </w:pPr>
      <w:r>
        <w:rPr>
          <w:rFonts w:ascii="Arial" w:cs="Arial" w:eastAsia="Arial" w:hAnsi="Arial"/>
          <w:b/>
          <w:bCs/>
          <w:color w:val="1B2A38"/>
          <w:sz w:val="24"/>
          <w:szCs w:val="24"/>
        </w:rPr>
        <w:t xml:space="preserve">Итого до ходовых тестов: </w:t>
      </w:r>
      <w:r>
        <w:rPr>
          <w:rFonts w:ascii="Arial" w:cs="Arial" w:eastAsia="Arial" w:hAnsi="Arial"/>
          <w:b/>
          <w:bCs/>
          <w:color w:val="E05206"/>
          <w:sz w:val="28"/>
          <w:szCs w:val="28"/>
        </w:rPr>
        <w:t xml:space="preserve">10-12 месяцев</w:t>
      </w:r>
    </w:p>
    <w:p>
      <w:pPr>
        <w:spacing w:before="400"/>
      </w:pPr>
    </w:p>
    <w:p>
      <w:pPr>
        <w:spacing w:after="60" w:before="360"/>
      </w:pPr>
      <w:r>
        <w:rPr>
          <w:rFonts w:ascii="Arial" w:cs="Arial" w:eastAsia="Arial" w:hAnsi="Arial"/>
          <w:b/>
          <w:bCs/>
          <w:color w:val="E05206"/>
          <w:spacing w:val="80"/>
          <w:sz w:val="16"/>
          <w:szCs w:val="16"/>
        </w:rPr>
        <w:t xml:space="preserve">КОНТАКТЫ</w:t>
      </w:r>
    </w:p>
    <w:p>
      <w:pPr>
        <w:pBdr>
          <w:bottom w:val="single" w:color="E05206" w:sz="6" w:space="1"/>
        </w:pBd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</w:rPr>
        <w:t xml:space="preserve">Контакты команды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Контактное лицо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Нейра Филипп Георгиевич, Учредитель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Компания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ГК «Лабораторный кластер» · labcluster.ru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195112, г. Санкт-Петербург, Заневский пр., д. 54, к.5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Email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neira@labcluster.ru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Мобильный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+7 911 299-95-86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6FA8"/>
                <w:sz w:val="18"/>
                <w:szCs w:val="18"/>
              </w:rPr>
              <w:t xml:space="preserve">Офис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DDE3EA" w:sz="1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+7 (812) 363-08-08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5206" w:sz="2" w:space="4"/>
      </w:pBdr>
      <w:tabs>
        <w:tab w:val="right" w:pos="9026"/>
      </w:tabs>
    </w:pPr>
    <w:r>
      <w:rPr>
        <w:rFonts w:ascii="Arial" w:cs="Arial" w:eastAsia="Arial" w:hAnsi="Arial"/>
        <w:color w:val="5A6370"/>
        <w:sz w:val="12"/>
        <w:szCs w:val="12"/>
      </w:rPr>
      <w:t xml:space="preserve">MSV-11 Технический паспорт  |  2026</w:t>
    </w:r>
    <w:r>
      <w:t xml:space="preserve">	Стр. </w:t>
    </w:r>
    <w:r>
      <w:rPr>
        <w:rFonts w:ascii="Arial" w:cs="Arial" w:eastAsia="Arial" w:hAnsi="Arial"/>
        <w:color w:val="5A6370"/>
        <w:sz w:val="12"/>
        <w:szCs w:val="1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05206" w:sz="4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B2A38"/>
        <w:sz w:val="14"/>
        <w:szCs w:val="14"/>
      </w:rPr>
      <w:t xml:space="preserve">MSV-11  |  Multi-System Vessel</w:t>
    </w:r>
    <w:r>
      <w:t xml:space="preserve">	</w:t>
    </w:r>
    <w:r>
      <w:rPr>
        <w:rFonts w:ascii="Arial" w:cs="Arial" w:eastAsia="Arial" w:hAnsi="Arial"/>
        <w:color w:val="1B6FA8"/>
        <w:sz w:val="14"/>
        <w:szCs w:val="14"/>
      </w:rPr>
      <w:t xml:space="preserve">labcluster.ru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B2A3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B2A3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B6FA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85a38ce0e0c28824f4dca6e2d9a7a54da2737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2026-03-29T18:20:09.678Z</dcterms:created>
  <dcterms:modified xsi:type="dcterms:W3CDTF">2026-03-29T18:20:09.679Z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