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E05206" w:sz="6" w:space="1"/>
        </w:pBdr>
        <w:spacing w:after="12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E05206"/>
          <w:sz w:val="56"/>
          <w:szCs w:val="56"/>
        </w:rPr>
        <w:t xml:space="preserve">Multi-System Vessel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38"/>
          <w:sz w:val="72"/>
          <w:szCs w:val="72"/>
        </w:rPr>
        <w:t xml:space="preserve">MSV-11</w:t>
      </w:r>
    </w:p>
    <w:p>
      <w:pPr>
        <w:spacing w:after="200"/>
      </w:pPr>
      <w:r>
        <w:rPr>
          <w:rFonts w:ascii="Arial" w:cs="Arial" w:eastAsia="Arial" w:hAnsi="Arial"/>
          <w:color w:val="5A6370"/>
          <w:sz w:val="22"/>
          <w:szCs w:val="22"/>
        </w:rPr>
        <w:t xml:space="preserve">Многосистемная морская платформа с динамическим позиционированием DP1, рубкой на 3 человека и неограниченным районом плавания.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05206"/>
                <w:sz w:val="32"/>
                <w:szCs w:val="32"/>
              </w:rPr>
              <w:t xml:space="preserve">11 м</w:t>
            </w:r>
          </w:p>
          <w:p>
            <w:r>
              <w:rPr>
                <w:rFonts w:ascii="Arial" w:cs="Arial" w:eastAsia="Arial" w:hAnsi="Arial"/>
                <w:color w:val="5A6370"/>
                <w:sz w:val="14"/>
                <w:szCs w:val="14"/>
              </w:rPr>
              <w:t xml:space="preserve">Длина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05206"/>
                <w:sz w:val="32"/>
                <w:szCs w:val="32"/>
              </w:rPr>
              <w:t xml:space="preserve">3 чел.</w:t>
            </w:r>
          </w:p>
          <w:p>
            <w:r>
              <w:rPr>
                <w:rFonts w:ascii="Arial" w:cs="Arial" w:eastAsia="Arial" w:hAnsi="Arial"/>
                <w:color w:val="5A6370"/>
                <w:sz w:val="14"/>
                <w:szCs w:val="14"/>
              </w:rPr>
              <w:t xml:space="preserve">Экипаж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05206"/>
                <w:sz w:val="32"/>
                <w:szCs w:val="32"/>
              </w:rPr>
              <w:t xml:space="preserve">DP1</w:t>
            </w:r>
          </w:p>
          <w:p>
            <w:r>
              <w:rPr>
                <w:rFonts w:ascii="Arial" w:cs="Arial" w:eastAsia="Arial" w:hAnsi="Arial"/>
                <w:color w:val="5A6370"/>
                <w:sz w:val="14"/>
                <w:szCs w:val="14"/>
              </w:rPr>
              <w:t xml:space="preserve">Позиционирование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05206"/>
                <w:sz w:val="32"/>
                <w:szCs w:val="32"/>
              </w:rPr>
              <w:t xml:space="preserve">2×300 л/с</w:t>
            </w:r>
          </w:p>
          <w:p>
            <w:r>
              <w:rPr>
                <w:rFonts w:ascii="Arial" w:cs="Arial" w:eastAsia="Arial" w:hAnsi="Arial"/>
                <w:color w:val="5A6370"/>
                <w:sz w:val="14"/>
                <w:szCs w:val="14"/>
              </w:rPr>
              <w:t xml:space="preserve">Двигатели</w:t>
            </w:r>
          </w:p>
        </w:tc>
      </w:tr>
    </w:tbl>
    <w:p>
      <w:pPr>
        <w:spacing w:before="600"/>
      </w:pPr>
    </w:p>
    <w:p>
      <w:r>
        <w:drawing>
          <wp:inline distT="0" distB="0" distL="0" distR="0">
            <wp:extent cx="6191250" cy="3333750"/>
            <wp:effectExtent t="0" r="0" b="0" l="0"/>
            <wp:docPr id="1" name="hero" descr="MSV-11 main view" title="MSV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r>
        <w:rPr>
          <w:rFonts w:ascii="Arial" w:cs="Arial" w:eastAsia="Arial" w:hAnsi="Arial"/>
          <w:color w:val="5A6370"/>
          <w:sz w:val="16"/>
          <w:szCs w:val="16"/>
        </w:rPr>
        <w:t xml:space="preserve">ГК «Лабораторный кластер»  |  labcluster.ru  |  2026</w:t>
      </w:r>
    </w:p>
    <w:p>
      <w:pPr>
        <w:sectPr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E05206"/>
          <w:spacing w:val="80"/>
          <w:sz w:val="16"/>
          <w:szCs w:val="16"/>
        </w:rPr>
        <w:t xml:space="preserve">КОНЦЕПЦИЯ И ЗАДАЧА</w:t>
      </w:r>
    </w:p>
    <w:p>
      <w:pPr>
        <w:pBdr>
          <w:bottom w:val="single" w:color="E05206" w:sz="6" w:space="1"/>
        </w:pBd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Морские исследования требуют точности и присутствия людей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MSV-11 — многосистемная морская платформа с динамическим позиционированием DP1, рубкой на 3 человека и неограниченным районом плавания. Буксируется материнским судном к месту работ для проведения точных исследовательских операций.</w:t>
      </w:r>
    </w:p>
    <w:p>
      <w:pPr>
        <w:pStyle w:val="Heading3"/>
      </w:pPr>
      <w:r>
        <w:rPr>
          <w:b/>
          <w:bCs/>
        </w:rPr>
        <w:t xml:space="preserve">Задачи, требующие присутствия людей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Сложный пробоотбор — отбор проб воды батометрами, грунта дночерпателем, планктона сетками Джеди и управление ТНПА требуют присутствия специалистов на судне.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Точное позиционирование — для спуска погружного оборудования необходимо динамическое позиционирование с высокой точностью.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Работа с материнского судна — катамаран буксируется в район работ, что позволяет получить неограниченный район плавания.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Безопасность экипажа — палуба оборудована релингами, страховочными тросами и спасательными кругами.</w:t>
      </w:r>
    </w:p>
    <w:p>
      <w:pPr>
        <w:pStyle w:val="Heading3"/>
      </w:pPr>
      <w:r>
        <w:rPr>
          <w:b/>
          <w:bCs/>
        </w:rPr>
        <w:t xml:space="preserve">Решение — MSV-11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Рубка на 3 человека: капитан, оператор ТНПА, пробоотборщик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Алюминиевый корпус с заполнением пенопластом — непотопляемость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Неограниченный район плавания по корпусу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Два подвесных двигателя по 300 л/с каждый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Два подруливающих устройства для точного маневрирования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Система динамического позиционирования DP1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Топливные баки и генератор на палубе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Буксировка материнским судном в район работ</w:t>
      </w:r>
    </w:p>
    <w:p>
      <w:r>
        <w:br w:type="pag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E05206"/>
          <w:spacing w:val="80"/>
          <w:sz w:val="16"/>
          <w:szCs w:val="16"/>
        </w:rPr>
        <w:t xml:space="preserve">ТЕХНИЧЕСКИЕ ХАРАКТЕРИСТИКИ</w:t>
      </w:r>
    </w:p>
    <w:p>
      <w:pPr>
        <w:pBdr>
          <w:bottom w:val="single" w:color="E05206" w:sz="6" w:space="1"/>
        </w:pBd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Ключевые ТТХ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B2A3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B2A3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Тип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Multi-System Vessel с DP1 (MSV)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Длина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 м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Корпус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Алюминиевый, заполнен пенопластом — непотопляемость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Район плавания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Неограниченный (по корпусу)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Экипаж / рубка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человека (капитан, оператор ТНПА, пробоотборщик)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Движители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подвесных двигателя × 300 л/с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Подруливающие устройства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шт. для точного маневрирования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Позиционирование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Система динамического позиционирования DP1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Топливные баки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Расположены на палубе (возможны плоские)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Генератор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шт. дизель-генератор на палубе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Доставка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Буксировка материнским судном в район работ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Жилые помещения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 (без спальных мест и санузла)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Палуба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Оборудована: релинги, страховочные тросы, спасательные круги</w:t>
            </w:r>
          </w:p>
        </w:tc>
      </w:tr>
      <w:tr>
        <w:tc>
          <w:tcPr>
            <w:tcW w:type="dxa" w:w="33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Погружное оборудование</w:t>
            </w:r>
          </w:p>
        </w:tc>
        <w:tc>
          <w:tcPr>
            <w:tcW w:type="dxa" w:w="60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Кассета с батометрами, дночерпатель, сетки Джеди, ТНПА</w:t>
            </w:r>
          </w:p>
        </w:tc>
      </w:tr>
    </w:tbl>
    <w:p>
      <w:r>
        <w:br w:type="pag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E05206"/>
          <w:spacing w:val="80"/>
          <w:sz w:val="16"/>
          <w:szCs w:val="16"/>
        </w:rPr>
        <w:t xml:space="preserve">ПРЕИМУЩЕСТВА</w:t>
      </w:r>
    </w:p>
    <w:p>
      <w:pPr>
        <w:pBdr>
          <w:bottom w:val="single" w:color="E05206" w:sz="6" w:space="1"/>
        </w:pBd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Почему MSV-11 отличается</w:t>
      </w:r>
    </w:p>
    <w:p>
      <w:pPr>
        <w:pStyle w:val="Heading3"/>
      </w:pPr>
      <w:r>
        <w:rPr>
          <w:b/>
          <w:bCs/>
        </w:rPr>
        <w:t xml:space="preserve">Динамическое позиционирование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Система DP1 с двумя подрульками обеспечивает точное удержание катамарана в заданной точке при спуске оборудования и работе ТНПА.</w:t>
      </w:r>
    </w:p>
    <w:p>
      <w:pPr>
        <w:pStyle w:val="Heading3"/>
      </w:pPr>
      <w:r>
        <w:rPr>
          <w:b/>
          <w:bCs/>
        </w:rPr>
        <w:t xml:space="preserve">Непотопляемость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Алюминиевый корпус заполнен пенопластом, что гарантирует непотопляемость и позволяет получить неограниченный район плавания.</w:t>
      </w:r>
    </w:p>
    <w:p>
      <w:pPr>
        <w:pStyle w:val="Heading3"/>
      </w:pPr>
      <w:r>
        <w:rPr>
          <w:b/>
          <w:bCs/>
        </w:rPr>
        <w:t xml:space="preserve">Научная платформа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Рубка на 3 человека, палуба оборудована для работ с погружным оборудованием: батометры, дночерпатель, сетки Джеди, ТНПА.</w:t>
      </w:r>
    </w:p>
    <w:p>
      <w:pPr>
        <w:pStyle w:val="Heading3"/>
      </w:pPr>
      <w:r>
        <w:rPr>
          <w:b/>
          <w:bCs/>
        </w:rPr>
        <w:t xml:space="preserve">Буксировка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Катамаран буксируется материнским судном в район работ, что снижает требования к собственной автономности и топливным запасам.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E05206"/>
          <w:spacing w:val="80"/>
          <w:sz w:val="16"/>
          <w:szCs w:val="16"/>
        </w:rPr>
        <w:t xml:space="preserve">ПОЗИЦИОНИРОВАНИЕ</w:t>
      </w:r>
    </w:p>
    <w:p>
      <w:pPr>
        <w:pBdr>
          <w:bottom w:val="single" w:color="E05206" w:sz="6" w:space="1"/>
        </w:pBd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Система динамического позиционирования класса 1 (DP1)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MSV-11 оснащается системой динамического позиционирования класса 1 (DP1) с двумя подруливающими устройствами, которая удерживает катамаран в заданной точке при спуске погружного оборудования и работе ТНПА.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Точное удержание точки — DP1 обеспечивает стабильное позиционирование при работе с батометрами, дночерпателем и управлении ТНПА.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Два подруливающих устройства — обеспечивают точное маневрирование и удержание курса при воздействии ветра, течения и волнения.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Работа ТНПА — точное позиционирование критично для управления подводным аппаратом из рубки катамарана.</w:t>
      </w:r>
    </w:p>
    <w:p>
      <w:r>
        <w:br w:type="pag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E05206"/>
          <w:spacing w:val="80"/>
          <w:sz w:val="16"/>
          <w:szCs w:val="16"/>
        </w:rPr>
        <w:t xml:space="preserve">МОДУЛЬНАЯ АРХИТЕКТУРА</w:t>
      </w:r>
    </w:p>
    <w:p>
      <w:pPr>
        <w:pBdr>
          <w:bottom w:val="single" w:color="E05206" w:sz="6" w:space="1"/>
        </w:pBd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 типов сменного оборудования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MSV-11 — обитаемая исследовательская платформа. С катамарана опускается погружное оборудование для выполнения морских научных работ, а оператор ТНПА управляет аппаратом непосредственно из рубки.</w:t>
      </w:r>
    </w:p>
    <w:p>
      <w:pPr>
        <w:pStyle w:val="Heading3"/>
      </w:pPr>
      <w:r>
        <w:rPr>
          <w:b/>
          <w:bCs/>
        </w:rPr>
        <w:t xml:space="preserve">1. Экология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Модуль для экологического мониторинга и комплексного отбора проб воды и грунта с координатной привязкой. Позволяет оперативно проводить экологические исследования в одной миссии с другими модулями.</w:t>
      </w:r>
    </w:p>
    <w:p>
      <w:pPr>
        <w:pStyle w:val="Heading3"/>
      </w:pPr>
      <w:r>
        <w:rPr>
          <w:b/>
          <w:bCs/>
        </w:rPr>
        <w:t xml:space="preserve">2. Океанологический / доплеровский профилограф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Доплеровский профилограф измеряет скорость и направление течений по глубине, помогает анализировать структуру водной толщи и оперативно получать океанологические данные.</w:t>
      </w:r>
    </w:p>
    <w:p>
      <w:pPr>
        <w:pStyle w:val="Heading3"/>
      </w:pPr>
      <w:r>
        <w:rPr>
          <w:b/>
          <w:bCs/>
        </w:rPr>
        <w:t xml:space="preserve">3. ROV / ТНПА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Спуск и подъем ROV массой до 200 кг через раздвижной пандус кассеты. MSV-11 выступает ретранслятором связи и навигационной привязкой для аппарата.</w:t>
      </w:r>
    </w:p>
    <w:p>
      <w:pPr>
        <w:pStyle w:val="Heading3"/>
      </w:pPr>
      <w:r>
        <w:rPr>
          <w:b/>
          <w:bCs/>
        </w:rPr>
        <w:t xml:space="preserve">4. Планктон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Модуль для отбора проб планктона разного типа в толще воды. Позволяет проводить биологический мониторинг, изучать распределение планктона и выполнять серийный отбор проб.</w:t>
      </w:r>
    </w:p>
    <w:p>
      <w:pPr>
        <w:pStyle w:val="Heading3"/>
      </w:pPr>
      <w:r>
        <w:rPr>
          <w:b/>
          <w:bCs/>
        </w:rPr>
        <w:t xml:space="preserve">5. Буксируемые системы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Буксировка гидроакустических и геофизических систем: гидролокатор бокового обзора (ГБО), субдонный профилограф, магнитометр, сейсмическая коса.</w:t>
      </w:r>
    </w:p>
    <w:p>
      <w:r>
        <w:br w:type="pag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E05206"/>
          <w:spacing w:val="80"/>
          <w:sz w:val="16"/>
          <w:szCs w:val="16"/>
        </w:rPr>
        <w:t xml:space="preserve">ДОПОЛНИТЕЛЬНОЕ ОБОРУДОВАНИЕ</w:t>
      </w:r>
    </w:p>
    <w:p>
      <w:pPr>
        <w:pBdr>
          <w:bottom w:val="single" w:color="E05206" w:sz="6" w:space="1"/>
        </w:pBd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Палубное оснащение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MSV-11 комплектуется палубным оборудованием для безопасного проведения исследовательских работ в открытом море. Конфигурация подбирается под задачи конкретной экспедиции.</w:t>
      </w:r>
    </w:p>
    <w:p>
      <w:pPr>
        <w:pStyle w:val="Heading3"/>
      </w:pPr>
      <w:r>
        <w:rPr>
          <w:b/>
          <w:bCs/>
        </w:rPr>
        <w:t xml:space="preserve">1. П-образная арка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Силовая П-образная арка на корме катамарана. Служит опорной конструкцией для крепления антенн, навигационных огней, прожекторов и дополнительного оборудования.</w:t>
      </w:r>
    </w:p>
    <w:p>
      <w:pPr>
        <w:pStyle w:val="Heading3"/>
      </w:pPr>
      <w:r>
        <w:rPr>
          <w:b/>
          <w:bCs/>
        </w:rPr>
        <w:t xml:space="preserve">2. Кран-балка / манипулятор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Гидравлическая кран-балка с поворотной стрелой для спуска и подъема погружного оборудования: батометров, дночерпателя, сеток Джеди и ТНПА.</w:t>
      </w:r>
    </w:p>
    <w:p>
      <w:pPr>
        <w:pStyle w:val="Heading3"/>
      </w:pPr>
      <w:r>
        <w:rPr>
          <w:b/>
          <w:bCs/>
        </w:rPr>
        <w:t xml:space="preserve">3. Лебедки и тросы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Лебедочное оборудование для спуска и подъема научных приборов на заданные горизонты. Комплектация включает главную и вспомогательную лебедки.</w:t>
      </w:r>
    </w:p>
    <w:p>
      <w:pPr>
        <w:pStyle w:val="Heading3"/>
      </w:pPr>
      <w:r>
        <w:rPr>
          <w:b/>
          <w:bCs/>
        </w:rPr>
        <w:t xml:space="preserve">4. Спасательные плоты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Надувные спасательные плоты в контейнерах, размещенные на палубе согласно требованиям Регистра. Автоматическое раскрытие при аварийной ситуации.</w:t>
      </w:r>
    </w:p>
    <w:p>
      <w:pPr>
        <w:pStyle w:val="Heading3"/>
      </w:pPr>
      <w:r>
        <w:rPr>
          <w:b/>
          <w:bCs/>
        </w:rPr>
        <w:t xml:space="preserve">5. Топливные баки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Палубные топливные баки различного литража для дизельного топлива. Объем подбирается под дальность буксировки и продолжительность работ.</w:t>
      </w:r>
    </w:p>
    <w:p>
      <w:r>
        <w:br w:type="pag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E05206"/>
          <w:spacing w:val="80"/>
          <w:sz w:val="16"/>
          <w:szCs w:val="16"/>
        </w:rPr>
        <w:t xml:space="preserve">ПОКРЫТИЕ ЗАДАЧ ЗАКАЗЧИКА</w:t>
      </w:r>
    </w:p>
    <w:p>
      <w:pPr>
        <w:pBdr>
          <w:bottom w:val="single" w:color="E05206" w:sz="6" w:space="1"/>
        </w:pBd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Применение в задачах нефтегазовой отрасли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Сводная таблица соответствия оборудования MSV-11 типовым задачам морских исследований.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B2A3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B2A3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Оборудование MSV-11</w:t>
            </w:r>
          </w:p>
        </w:tc>
        <w:tc>
          <w:tcPr>
            <w:tcW w:type="dxa" w:w="39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B2A3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возможности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Гидрохимический мониторинг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06"/>
                <w:sz w:val="17"/>
                <w:szCs w:val="17"/>
              </w:rPr>
              <w:t xml:space="preserve">Кассета с батометрами</w:t>
            </w:r>
          </w:p>
        </w:tc>
        <w:tc>
          <w:tcPr>
            <w:tcW w:type="dxa" w:w="39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Отбор проб воды на различных горизонтах, координатная привязка через DP1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Геохимический отбор проб грунта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06"/>
                <w:sz w:val="17"/>
                <w:szCs w:val="17"/>
              </w:rPr>
              <w:t xml:space="preserve">Дночерпатель</w:t>
            </w:r>
          </w:p>
        </w:tc>
        <w:tc>
          <w:tcPr>
            <w:tcW w:type="dxa" w:w="39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Ненарушенные образцы донных отложений, геохимический и экологический анализ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Биологический мониторинг планктона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06"/>
                <w:sz w:val="17"/>
                <w:szCs w:val="17"/>
              </w:rPr>
              <w:t xml:space="preserve">Сетки Джеди</w:t>
            </w:r>
          </w:p>
        </w:tc>
        <w:tc>
          <w:tcPr>
            <w:tcW w:type="dxa" w:w="39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Отбор проб планктона из водной толщи, серийный отбор на станциях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Визуальный осмотр подводных объектов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06"/>
                <w:sz w:val="17"/>
                <w:szCs w:val="17"/>
              </w:rPr>
              <w:t xml:space="preserve">ТНПА (ROV)</w:t>
            </w:r>
          </w:p>
        </w:tc>
        <w:tc>
          <w:tcPr>
            <w:tcW w:type="dxa" w:w="39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Управление из рубки, видеосъемка, инспекция оборудования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Экологический мониторинг скважин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06"/>
                <w:sz w:val="17"/>
                <w:szCs w:val="17"/>
              </w:rPr>
              <w:t xml:space="preserve">Батометры + Дночерпатель</w:t>
            </w:r>
          </w:p>
        </w:tc>
        <w:tc>
          <w:tcPr>
            <w:tcW w:type="dxa" w:w="39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2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Комплексный отбор проб воды и грунта для экологической оценки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Комплексные морские исследования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06"/>
                <w:sz w:val="17"/>
                <w:szCs w:val="17"/>
              </w:rPr>
              <w:t xml:space="preserve">Батометры + Сетки Джеди + ТНПА</w:t>
            </w:r>
          </w:p>
        </w:tc>
        <w:tc>
          <w:tcPr>
            <w:tcW w:type="dxa" w:w="396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Полный цикл: гидрохимия, планктон, визуальный осмотр за один выход</w:t>
            </w:r>
          </w:p>
        </w:tc>
      </w:tr>
    </w:tbl>
    <w:p>
      <w:r>
        <w:br w:type="pag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E05206"/>
          <w:spacing w:val="80"/>
          <w:sz w:val="16"/>
          <w:szCs w:val="16"/>
        </w:rPr>
        <w:t xml:space="preserve">ОБЛАСТИ ПРИМЕНЕНИЯ</w:t>
      </w:r>
    </w:p>
    <w:p>
      <w:pPr>
        <w:pBdr>
          <w:bottom w:val="single" w:color="E05206" w:sz="6" w:space="1"/>
        </w:pBd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Где работает MSV-11</w:t>
      </w:r>
    </w:p>
    <w:p>
      <w:pPr>
        <w:pStyle w:val="Heading3"/>
      </w:pPr>
      <w:r>
        <w:rPr>
          <w:b/>
          <w:bCs/>
        </w:rPr>
        <w:t xml:space="preserve">Экологический мониторинг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Отбор проб воды батометрами, грунта дночерпателем для экологической оценки акваторий.</w:t>
      </w:r>
    </w:p>
    <w:p>
      <w:pPr>
        <w:pStyle w:val="Heading3"/>
      </w:pPr>
      <w:r>
        <w:rPr>
          <w:b/>
          <w:bCs/>
        </w:rPr>
        <w:t xml:space="preserve">Гидрохимические исследования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Комплексный отбор проб воды на различных горизонтах с координатной привязкой через DP1.</w:t>
      </w:r>
    </w:p>
    <w:p>
      <w:pPr>
        <w:pStyle w:val="Heading3"/>
      </w:pPr>
      <w:r>
        <w:rPr>
          <w:b/>
          <w:bCs/>
        </w:rPr>
        <w:t xml:space="preserve">Планктонные исследования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Отбор проб планктона сетками Джеди для биологического мониторинга водной толщи.</w:t>
      </w:r>
    </w:p>
    <w:p>
      <w:pPr>
        <w:pStyle w:val="Heading3"/>
      </w:pPr>
      <w:r>
        <w:rPr>
          <w:b/>
          <w:bCs/>
        </w:rPr>
        <w:t xml:space="preserve">Работа с ТНПА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Визуальный осмотр подводных объектов и инспекция оборудования с управлением из рубки.</w:t>
      </w:r>
    </w:p>
    <w:p>
      <w:pPr>
        <w:pStyle w:val="Heading3"/>
      </w:pPr>
      <w:r>
        <w:rPr>
          <w:b/>
          <w:bCs/>
        </w:rPr>
        <w:t xml:space="preserve">Мониторинг скважин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Производственный экологический мониторинг и контроль морских скважин нефтегазового сектора.</w:t>
      </w:r>
    </w:p>
    <w:p>
      <w:pPr>
        <w:pStyle w:val="Heading3"/>
      </w:pPr>
      <w:r>
        <w:rPr>
          <w:b/>
          <w:bCs/>
        </w:rPr>
        <w:t xml:space="preserve">Геохимическая разведка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Высокоточный отбор геохимических проб с точностью 1-1,5 метра благодаря DP1.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E05206"/>
          <w:spacing w:val="80"/>
          <w:sz w:val="16"/>
          <w:szCs w:val="16"/>
        </w:rPr>
        <w:t xml:space="preserve">ПОЧЕМУ МЫ</w:t>
      </w:r>
    </w:p>
    <w:p>
      <w:pPr>
        <w:pBdr>
          <w:bottom w:val="single" w:color="E05206" w:sz="6" w:space="1"/>
        </w:pBd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Почему ГК «Лабораторный кластер» — идеальный партнер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Самая крупная частная экологическая лаборатория в стране, занимающаяся преимущественно работами в рамках производственного экологического мониторинга и контроля морских скважин.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Собственный научный флот — 6 единиц (3 из них работает в Арктике) + отдел технической эксплуатации флота.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Собственный технический отдел, занимающийся разработкой и аттестацией лабораторного оборудования.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Отдел метрологии и качества, способный разработать и аттестовать собственные методики по отбору проб с MSV-11.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Разработчики собственной лабораторной программы АЛАБ, не имеющей аналогов в РФ.</w:t>
      </w:r>
    </w:p>
    <w:p>
      <w:r>
        <w:br w:type="pag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E05206"/>
          <w:spacing w:val="80"/>
          <w:sz w:val="16"/>
          <w:szCs w:val="16"/>
        </w:rPr>
        <w:t xml:space="preserve">ДОРОЖНАЯ КАРТА</w:t>
      </w:r>
    </w:p>
    <w:p>
      <w:pPr>
        <w:pBdr>
          <w:bottom w:val="single" w:color="E05206" w:sz="6" w:space="1"/>
        </w:pBd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Этапы реализации</w:t>
      </w:r>
    </w:p>
    <w:p>
      <w:pPr>
        <w:pStyle w:val="Heading3"/>
      </w:pPr>
      <w:r>
        <w:rPr>
          <w:b/>
          <w:bCs/>
        </w:rPr>
        <w:t xml:space="preserve">Этап 1. Проектирование (3-4 месяца)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Рабочая КД, 3D-модель, ТЭО и согласование с РМРС.</w:t>
      </w:r>
    </w:p>
    <w:p>
      <w:pPr>
        <w:pStyle w:val="Heading3"/>
      </w:pPr>
      <w:r>
        <w:rPr>
          <w:b/>
          <w:bCs/>
        </w:rPr>
        <w:t xml:space="preserve">Этап 2. Постройка прототипа (4-6 месяцев)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Алюминиевый корпус с пенопластом, рубка, подвесные двигатели, подрульки, система DP1 и палубное оборудование.</w:t>
      </w:r>
    </w:p>
    <w:p>
      <w:pPr>
        <w:pStyle w:val="Heading3"/>
      </w:pPr>
      <w:r>
        <w:rPr>
          <w:b/>
          <w:bCs/>
        </w:rPr>
        <w:t xml:space="preserve">Этап 3. Испытания и сертификация (2-3 месяца)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Ходовые тесты, проверка DP1, буксировка и палубные работы.</w:t>
      </w:r>
    </w:p>
    <w:p>
      <w:pPr>
        <w:pBdr>
          <w:top w:val="single" w:color="1B2A38" w:sz="4" w:space="8"/>
          <w:bottom w:val="single" w:color="1B2A38" w:sz="4" w:space="8"/>
        </w:pBdr>
        <w:spacing w:before="300"/>
        <w:jc w:val="center"/>
      </w:pPr>
      <w:r>
        <w:rPr>
          <w:rFonts w:ascii="Arial" w:cs="Arial" w:eastAsia="Arial" w:hAnsi="Arial"/>
          <w:b/>
          <w:bCs/>
          <w:color w:val="1B2A38"/>
          <w:sz w:val="24"/>
          <w:szCs w:val="24"/>
        </w:rPr>
        <w:t xml:space="preserve">Итого до ходовых тестов: </w:t>
      </w:r>
      <w:r>
        <w:rPr>
          <w:rFonts w:ascii="Arial" w:cs="Arial" w:eastAsia="Arial" w:hAnsi="Arial"/>
          <w:b/>
          <w:bCs/>
          <w:color w:val="E05206"/>
          <w:sz w:val="28"/>
          <w:szCs w:val="28"/>
        </w:rPr>
        <w:t xml:space="preserve">10-12 месяцев</w:t>
      </w:r>
    </w:p>
    <w:p>
      <w:pPr>
        <w:spacing w:before="40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E05206"/>
          <w:spacing w:val="80"/>
          <w:sz w:val="16"/>
          <w:szCs w:val="16"/>
        </w:rPr>
        <w:t xml:space="preserve">КОНТАКТЫ</w:t>
      </w:r>
    </w:p>
    <w:p>
      <w:pPr>
        <w:pBdr>
          <w:bottom w:val="single" w:color="E05206" w:sz="6" w:space="1"/>
        </w:pBd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Контакты команды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3E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Контактное лицо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DE3E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Нейра Филипп Георгиевич, Учредитель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3E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DE3E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ГК «Лабораторный кластер» · labcluster.ru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3E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Адрес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DE3E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195112, г. Санкт-Петербург, Заневский пр., д. 54, к.5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3E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DE3E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neira@labcluster.ru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3E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Мобильный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DE3E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+7 911 299-95-86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3E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 xml:space="preserve">Офис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DE3E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+7 (812) 363-08-08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5206" w:sz="2" w:space="4"/>
      </w:pBdr>
      <w:tabs>
        <w:tab w:val="right" w:pos="9026"/>
      </w:tabs>
    </w:pPr>
    <w:r>
      <w:rPr>
        <w:rFonts w:ascii="Arial" w:cs="Arial" w:eastAsia="Arial" w:hAnsi="Arial"/>
        <w:color w:val="5A6370"/>
        <w:sz w:val="12"/>
        <w:szCs w:val="12"/>
      </w:rPr>
      <w:t xml:space="preserve">MSV-11 Технический паспорт  |  2026</w:t>
    </w:r>
    <w:r>
      <w:t xml:space="preserve">	Стр. </w:t>
    </w:r>
    <w:r>
      <w:rPr>
        <w:rFonts w:ascii="Arial" w:cs="Arial" w:eastAsia="Arial" w:hAnsi="Arial"/>
        <w:color w:val="5A6370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520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2A38"/>
        <w:sz w:val="14"/>
        <w:szCs w:val="14"/>
      </w:rPr>
      <w:t xml:space="preserve">MSV-11  |  Multi-System Vessel</w:t>
    </w:r>
    <w:r>
      <w:t xml:space="preserve">	</w:t>
    </w:r>
    <w:r>
      <w:rPr>
        <w:rFonts w:ascii="Arial" w:cs="Arial" w:eastAsia="Arial" w:hAnsi="Arial"/>
        <w:color w:val="1B6FA8"/>
        <w:sz w:val="14"/>
        <w:szCs w:val="14"/>
      </w:rPr>
      <w:t xml:space="preserve">labcluster.ru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B2A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2A3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B6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85a38ce0e0c28824f4dca6e2d9a7a54da273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2026-03-29T18:05:18.714Z</dcterms:created>
  <dcterms:modified xsi:type="dcterms:W3CDTF">2026-03-29T18:05:18.715Z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