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958" w:rsidRDefault="00175EC9">
      <w:r>
        <w:rPr>
          <w:rFonts w:hint="eastAsia"/>
        </w:rPr>
        <w:t>防救災資訊地圖展示系統調整建議：</w:t>
      </w:r>
    </w:p>
    <w:p w:rsidR="009D7958" w:rsidRPr="009D7958" w:rsidRDefault="009D7958"/>
    <w:p w:rsidR="00744873" w:rsidRDefault="00744873" w:rsidP="009D7958">
      <w:pPr>
        <w:pStyle w:val="a3"/>
        <w:numPr>
          <w:ilvl w:val="0"/>
          <w:numId w:val="3"/>
        </w:numPr>
        <w:ind w:left="540" w:hanging="540"/>
      </w:pPr>
      <w:r>
        <w:rPr>
          <w:rFonts w:hint="eastAsia"/>
        </w:rPr>
        <w:t>共通部分：</w:t>
      </w:r>
    </w:p>
    <w:p w:rsidR="00744873" w:rsidRDefault="00744873" w:rsidP="00744873">
      <w:pPr>
        <w:pStyle w:val="a3"/>
        <w:numPr>
          <w:ilvl w:val="0"/>
          <w:numId w:val="1"/>
        </w:numPr>
        <w:ind w:left="630" w:hanging="450"/>
      </w:pPr>
      <w:r>
        <w:rPr>
          <w:rFonts w:hint="eastAsia"/>
        </w:rPr>
        <w:t>左上「整合型災害應變系統」更名為「防救災資訊地圖展示系統」。</w:t>
      </w:r>
    </w:p>
    <w:p w:rsidR="00744873" w:rsidRDefault="00744873" w:rsidP="00744873">
      <w:pPr>
        <w:pStyle w:val="a3"/>
        <w:numPr>
          <w:ilvl w:val="0"/>
          <w:numId w:val="1"/>
        </w:numPr>
        <w:ind w:left="630" w:hanging="450"/>
      </w:pPr>
      <w:r>
        <w:rPr>
          <w:rFonts w:hint="eastAsia"/>
        </w:rPr>
        <w:t>於操作圖</w:t>
      </w:r>
      <w:proofErr w:type="gramStart"/>
      <w:r>
        <w:rPr>
          <w:rFonts w:hint="eastAsia"/>
        </w:rPr>
        <w:t>層套疊</w:t>
      </w:r>
      <w:proofErr w:type="gramEnd"/>
      <w:r>
        <w:rPr>
          <w:rFonts w:hint="eastAsia"/>
        </w:rPr>
        <w:t>後，於小視窗按縮小後，小視窗消失，如果要再開啟小視窗，需要再點</w:t>
      </w:r>
      <w:r>
        <w:rPr>
          <w:rFonts w:hint="eastAsia"/>
        </w:rPr>
        <w:t>2</w:t>
      </w:r>
      <w:r>
        <w:rPr>
          <w:rFonts w:hint="eastAsia"/>
        </w:rPr>
        <w:t>次該小視窗之功能，如圖</w:t>
      </w:r>
      <w:proofErr w:type="gramStart"/>
      <w:r>
        <w:rPr>
          <w:rFonts w:hint="eastAsia"/>
        </w:rPr>
        <w:t>層套疊中</w:t>
      </w:r>
      <w:proofErr w:type="gramEnd"/>
      <w:r>
        <w:rPr>
          <w:rFonts w:hint="eastAsia"/>
        </w:rPr>
        <w:t>之防救災</w:t>
      </w:r>
      <w:proofErr w:type="gramStart"/>
      <w:r>
        <w:rPr>
          <w:rFonts w:hint="eastAsia"/>
        </w:rPr>
        <w:t>資源圖資</w:t>
      </w:r>
      <w:proofErr w:type="gramEnd"/>
      <w:r>
        <w:rPr>
          <w:rFonts w:hint="eastAsia"/>
        </w:rPr>
        <w:t>。</w:t>
      </w:r>
    </w:p>
    <w:p w:rsidR="00744873" w:rsidRDefault="00744873" w:rsidP="00744873">
      <w:pPr>
        <w:pStyle w:val="a3"/>
        <w:numPr>
          <w:ilvl w:val="0"/>
          <w:numId w:val="1"/>
        </w:numPr>
        <w:ind w:left="630" w:hanging="450"/>
      </w:pPr>
      <w:r>
        <w:rPr>
          <w:rFonts w:hint="eastAsia"/>
        </w:rPr>
        <w:t>可否增加顯示現有開啟套疊圖層清單，並提供一一關閉功能，不然有時候把圖套上去，如果要關掉還要重找圖層。</w:t>
      </w:r>
    </w:p>
    <w:p w:rsidR="009D7958" w:rsidRDefault="009D7958" w:rsidP="009D7958">
      <w:pPr>
        <w:pStyle w:val="a3"/>
        <w:numPr>
          <w:ilvl w:val="0"/>
          <w:numId w:val="3"/>
        </w:numPr>
        <w:ind w:left="540" w:hanging="540"/>
      </w:pPr>
      <w:r>
        <w:rPr>
          <w:rFonts w:hint="eastAsia"/>
        </w:rPr>
        <w:t>氣象資訊部分：</w:t>
      </w:r>
    </w:p>
    <w:p w:rsidR="00175EC9" w:rsidRDefault="00175EC9" w:rsidP="00744873">
      <w:pPr>
        <w:pStyle w:val="a3"/>
        <w:numPr>
          <w:ilvl w:val="0"/>
          <w:numId w:val="10"/>
        </w:numPr>
        <w:ind w:left="630" w:hanging="450"/>
      </w:pPr>
      <w:r>
        <w:rPr>
          <w:rFonts w:hint="eastAsia"/>
        </w:rPr>
        <w:t>氣象資訊</w:t>
      </w:r>
      <w:proofErr w:type="gramStart"/>
      <w:r w:rsidR="0014403A">
        <w:rPr>
          <w:rFonts w:hint="eastAsia"/>
        </w:rPr>
        <w:t>可以做輪播</w:t>
      </w:r>
      <w:proofErr w:type="gramEnd"/>
      <w:r w:rsidR="0014403A">
        <w:rPr>
          <w:rFonts w:hint="eastAsia"/>
        </w:rPr>
        <w:t>功能嗎？</w:t>
      </w:r>
    </w:p>
    <w:p w:rsidR="009D7958" w:rsidRPr="009D7958" w:rsidRDefault="009D7958" w:rsidP="00744873">
      <w:pPr>
        <w:pStyle w:val="a3"/>
        <w:numPr>
          <w:ilvl w:val="0"/>
          <w:numId w:val="10"/>
        </w:numPr>
        <w:ind w:left="630" w:hanging="450"/>
      </w:pPr>
      <w:r>
        <w:rPr>
          <w:rFonts w:hint="eastAsia"/>
        </w:rPr>
        <w:t>「氣象局定量降水預報」名稱改為「</w:t>
      </w:r>
      <w:r>
        <w:rPr>
          <w:rFonts w:hint="eastAsia"/>
        </w:rPr>
        <w:t>12</w:t>
      </w:r>
      <w:r>
        <w:rPr>
          <w:rFonts w:hint="eastAsia"/>
        </w:rPr>
        <w:t>小時定量降水預報」，下方小圖名稱從</w:t>
      </w:r>
      <w:r>
        <w:rPr>
          <w:rFonts w:hint="eastAsia"/>
        </w:rPr>
        <w:t>12</w:t>
      </w:r>
      <w:r>
        <w:rPr>
          <w:rFonts w:hint="eastAsia"/>
        </w:rPr>
        <w:t>小時、</w:t>
      </w:r>
      <w:r>
        <w:rPr>
          <w:rFonts w:hint="eastAsia"/>
        </w:rPr>
        <w:t>24</w:t>
      </w:r>
      <w:r>
        <w:rPr>
          <w:rFonts w:hint="eastAsia"/>
        </w:rPr>
        <w:t>小時，改為「</w:t>
      </w:r>
      <w:r>
        <w:rPr>
          <w:rFonts w:asciiTheme="minorEastAsia" w:hAnsiTheme="minorEastAsia" w:hint="eastAsia"/>
        </w:rPr>
        <w:t>Ⅰ」、「Ⅱ」。</w:t>
      </w:r>
    </w:p>
    <w:p w:rsidR="009D7958" w:rsidRPr="009D7958" w:rsidRDefault="009D7958" w:rsidP="00744873">
      <w:pPr>
        <w:pStyle w:val="a3"/>
        <w:numPr>
          <w:ilvl w:val="0"/>
          <w:numId w:val="10"/>
        </w:numPr>
        <w:ind w:left="630" w:hanging="450"/>
      </w:pPr>
      <w:r>
        <w:rPr>
          <w:rFonts w:asciiTheme="minorEastAsia" w:hAnsiTheme="minorEastAsia" w:hint="eastAsia"/>
        </w:rPr>
        <w:t>最下方「圖層控制」</w:t>
      </w:r>
      <w:r w:rsidR="00A77650">
        <w:rPr>
          <w:rFonts w:asciiTheme="minorEastAsia" w:hAnsiTheme="minorEastAsia" w:hint="eastAsia"/>
        </w:rPr>
        <w:t>文字</w:t>
      </w:r>
      <w:r>
        <w:rPr>
          <w:rFonts w:asciiTheme="minorEastAsia" w:hAnsiTheme="minorEastAsia" w:hint="eastAsia"/>
        </w:rPr>
        <w:t>改為「圖層透明度控制」</w:t>
      </w:r>
    </w:p>
    <w:p w:rsidR="00CD6F15" w:rsidRDefault="000F6969" w:rsidP="009D7958">
      <w:pPr>
        <w:pStyle w:val="a3"/>
        <w:numPr>
          <w:ilvl w:val="0"/>
          <w:numId w:val="3"/>
        </w:numPr>
        <w:ind w:left="540" w:hanging="540"/>
      </w:pPr>
      <w:r>
        <w:rPr>
          <w:rFonts w:hint="eastAsia"/>
        </w:rPr>
        <w:t>圖</w:t>
      </w:r>
      <w:proofErr w:type="gramStart"/>
      <w:r>
        <w:rPr>
          <w:rFonts w:hint="eastAsia"/>
        </w:rPr>
        <w:t>層套疊</w:t>
      </w:r>
      <w:proofErr w:type="gramEnd"/>
      <w:r>
        <w:rPr>
          <w:rFonts w:hint="eastAsia"/>
        </w:rPr>
        <w:t>部分：</w:t>
      </w:r>
    </w:p>
    <w:p w:rsidR="000F6969" w:rsidRDefault="008F6A5B" w:rsidP="000F6969">
      <w:pPr>
        <w:pStyle w:val="a3"/>
        <w:numPr>
          <w:ilvl w:val="0"/>
          <w:numId w:val="6"/>
        </w:numPr>
        <w:ind w:left="630" w:hanging="4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救災</w:t>
      </w:r>
      <w:proofErr w:type="gramStart"/>
      <w:r>
        <w:rPr>
          <w:rFonts w:asciiTheme="minorEastAsia" w:hAnsiTheme="minorEastAsia" w:hint="eastAsia"/>
        </w:rPr>
        <w:t>資源圖資部分</w:t>
      </w:r>
      <w:proofErr w:type="gramEnd"/>
      <w:r>
        <w:rPr>
          <w:rFonts w:asciiTheme="minorEastAsia" w:hAnsiTheme="minorEastAsia" w:hint="eastAsia"/>
        </w:rPr>
        <w:t>：</w:t>
      </w:r>
    </w:p>
    <w:p w:rsidR="00A77650" w:rsidRDefault="006C64B6" w:rsidP="006C64B6">
      <w:pPr>
        <w:pStyle w:val="a3"/>
        <w:numPr>
          <w:ilvl w:val="1"/>
          <w:numId w:val="8"/>
        </w:numPr>
        <w:rPr>
          <w:rFonts w:asciiTheme="minorEastAsia" w:hAnsiTheme="minorEastAsia"/>
        </w:rPr>
      </w:pPr>
      <w:r w:rsidRPr="008A76BC">
        <w:rPr>
          <w:rFonts w:asciiTheme="minorEastAsia" w:hAnsiTheme="minorEastAsia" w:hint="eastAsia"/>
        </w:rPr>
        <w:t>「老人長期照護、養護及安養機構」改名為「老人福利機構」</w:t>
      </w:r>
    </w:p>
    <w:p w:rsidR="00777235" w:rsidRPr="008A76BC" w:rsidRDefault="00777235" w:rsidP="006C64B6">
      <w:pPr>
        <w:pStyle w:val="a3"/>
        <w:numPr>
          <w:ilvl w:val="1"/>
          <w:numId w:val="8"/>
        </w:numPr>
        <w:rPr>
          <w:rFonts w:asciiTheme="minorEastAsia" w:hAnsiTheme="minorEastAsia"/>
        </w:rPr>
      </w:pPr>
      <w:r w:rsidRPr="008A76BC">
        <w:rPr>
          <w:rFonts w:asciiTheme="minorEastAsia" w:hAnsiTheme="minorEastAsia" w:hint="eastAsia"/>
        </w:rPr>
        <w:t>「國軍兵力部屬分布」勾選後底下出現圖層透明度控制功能，上面請標</w:t>
      </w:r>
      <w:proofErr w:type="gramStart"/>
      <w:r w:rsidRPr="008A76BC">
        <w:rPr>
          <w:rFonts w:asciiTheme="minorEastAsia" w:hAnsiTheme="minorEastAsia" w:hint="eastAsia"/>
        </w:rPr>
        <w:t>註</w:t>
      </w:r>
      <w:proofErr w:type="gramEnd"/>
      <w:r w:rsidRPr="008A76BC">
        <w:rPr>
          <w:rFonts w:asciiTheme="minorEastAsia" w:hAnsiTheme="minorEastAsia" w:hint="eastAsia"/>
        </w:rPr>
        <w:t>小字「透明度控制」。</w:t>
      </w:r>
    </w:p>
    <w:p w:rsidR="008F6A5B" w:rsidRDefault="00777235" w:rsidP="000F6969">
      <w:pPr>
        <w:pStyle w:val="a3"/>
        <w:numPr>
          <w:ilvl w:val="0"/>
          <w:numId w:val="6"/>
        </w:numPr>
        <w:ind w:left="630" w:hanging="4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土</w:t>
      </w:r>
      <w:proofErr w:type="gramStart"/>
      <w:r>
        <w:rPr>
          <w:rFonts w:asciiTheme="minorEastAsia" w:hAnsiTheme="minorEastAsia" w:hint="eastAsia"/>
        </w:rPr>
        <w:t>石流潛勢</w:t>
      </w:r>
      <w:proofErr w:type="gramEnd"/>
      <w:r>
        <w:rPr>
          <w:rFonts w:asciiTheme="minorEastAsia" w:hAnsiTheme="minorEastAsia" w:hint="eastAsia"/>
        </w:rPr>
        <w:t>溪流部分：</w:t>
      </w:r>
    </w:p>
    <w:p w:rsidR="00777235" w:rsidRDefault="00777235" w:rsidP="00777235">
      <w:pPr>
        <w:pStyle w:val="a3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土</w:t>
      </w:r>
      <w:proofErr w:type="gramStart"/>
      <w:r>
        <w:rPr>
          <w:rFonts w:asciiTheme="minorEastAsia" w:hAnsiTheme="minorEastAsia" w:hint="eastAsia"/>
        </w:rPr>
        <w:t>石流潛勢溪流套疊後</w:t>
      </w:r>
      <w:proofErr w:type="gramEnd"/>
      <w:r>
        <w:rPr>
          <w:rFonts w:asciiTheme="minorEastAsia" w:hAnsiTheme="minorEastAsia" w:hint="eastAsia"/>
        </w:rPr>
        <w:t>，非常難以點選打開屬性資料，線條建議以加粗或是其他方式調整一下。</w:t>
      </w:r>
    </w:p>
    <w:p w:rsidR="00777235" w:rsidRDefault="00777235" w:rsidP="00777235">
      <w:pPr>
        <w:pStyle w:val="a3"/>
        <w:numPr>
          <w:ilvl w:val="0"/>
          <w:numId w:val="9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土</w:t>
      </w:r>
      <w:proofErr w:type="gramStart"/>
      <w:r>
        <w:rPr>
          <w:rFonts w:asciiTheme="minorEastAsia" w:hAnsiTheme="minorEastAsia" w:hint="eastAsia"/>
        </w:rPr>
        <w:t>石流</w:t>
      </w:r>
      <w:r w:rsidR="00B05BF7">
        <w:rPr>
          <w:rFonts w:asciiTheme="minorEastAsia" w:hAnsiTheme="minorEastAsia" w:hint="eastAsia"/>
        </w:rPr>
        <w:t>潛勢</w:t>
      </w:r>
      <w:proofErr w:type="gramEnd"/>
      <w:r w:rsidR="00B05BF7">
        <w:rPr>
          <w:rFonts w:asciiTheme="minorEastAsia" w:hAnsiTheme="minorEastAsia" w:hint="eastAsia"/>
        </w:rPr>
        <w:t>溪流及影響範圍兩個</w:t>
      </w:r>
      <w:proofErr w:type="gramStart"/>
      <w:r w:rsidR="00B05BF7">
        <w:rPr>
          <w:rFonts w:asciiTheme="minorEastAsia" w:hAnsiTheme="minorEastAsia" w:hint="eastAsia"/>
        </w:rPr>
        <w:t>圖層勾選後</w:t>
      </w:r>
      <w:proofErr w:type="gramEnd"/>
      <w:r w:rsidR="00B05BF7">
        <w:rPr>
          <w:rFonts w:asciiTheme="minorEastAsia" w:hAnsiTheme="minorEastAsia" w:hint="eastAsia"/>
        </w:rPr>
        <w:t>底下出現圖層透明度控制功能，上面請標</w:t>
      </w:r>
      <w:proofErr w:type="gramStart"/>
      <w:r w:rsidR="00B05BF7">
        <w:rPr>
          <w:rFonts w:asciiTheme="minorEastAsia" w:hAnsiTheme="minorEastAsia" w:hint="eastAsia"/>
        </w:rPr>
        <w:t>註</w:t>
      </w:r>
      <w:proofErr w:type="gramEnd"/>
      <w:r w:rsidR="00B05BF7">
        <w:rPr>
          <w:rFonts w:asciiTheme="minorEastAsia" w:hAnsiTheme="minorEastAsia" w:hint="eastAsia"/>
        </w:rPr>
        <w:t>小字「透明度控制」。</w:t>
      </w:r>
    </w:p>
    <w:p w:rsidR="00777235" w:rsidRDefault="00A67502" w:rsidP="000F6969">
      <w:pPr>
        <w:pStyle w:val="a3"/>
        <w:numPr>
          <w:ilvl w:val="0"/>
          <w:numId w:val="6"/>
        </w:numPr>
        <w:ind w:left="630" w:hanging="4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模擬資料部分：請增加透明度控制功能。</w:t>
      </w:r>
    </w:p>
    <w:p w:rsidR="00A67502" w:rsidRPr="000F6969" w:rsidRDefault="00A67502" w:rsidP="000F6969">
      <w:pPr>
        <w:pStyle w:val="a3"/>
        <w:numPr>
          <w:ilvl w:val="0"/>
          <w:numId w:val="6"/>
        </w:numPr>
        <w:ind w:left="630" w:hanging="45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4311650</wp:posOffset>
                </wp:positionH>
                <wp:positionV relativeFrom="paragraph">
                  <wp:posOffset>133350</wp:posOffset>
                </wp:positionV>
                <wp:extent cx="812800" cy="0"/>
                <wp:effectExtent l="0" t="0" r="25400" b="19050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4421F" id="直線接點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5pt,10.5pt" to="40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" strokecolor="black [3213]">
                <v:stroke dashstyle="longDashDotDot"/>
              </v:lin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133350</wp:posOffset>
                </wp:positionV>
                <wp:extent cx="742950" cy="0"/>
                <wp:effectExtent l="0" t="0" r="0" b="19050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8BBB8" id="直線接點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0.5pt" to="271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" strokecolor="black [3213]">
                <v:stroke dashstyle="dashDot"/>
              </v:line>
            </w:pict>
          </mc:Fallback>
        </mc:AlternateContent>
      </w:r>
      <w:r>
        <w:rPr>
          <w:rFonts w:asciiTheme="minorEastAsia" w:hAnsiTheme="minorEastAsia" w:hint="eastAsia"/>
        </w:rPr>
        <w:t>行政區圖層</w:t>
      </w:r>
      <w:bookmarkStart w:id="0" w:name="_GoBack"/>
      <w:bookmarkEnd w:id="0"/>
      <w:r>
        <w:rPr>
          <w:rFonts w:asciiTheme="minorEastAsia" w:hAnsiTheme="minorEastAsia" w:hint="eastAsia"/>
        </w:rPr>
        <w:t xml:space="preserve">部分：行政區界線條為           ，村里界為            </w:t>
      </w:r>
    </w:p>
    <w:sectPr w:rsidR="00A67502" w:rsidRPr="000F69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22F4"/>
    <w:multiLevelType w:val="hybridMultilevel"/>
    <w:tmpl w:val="2CBA58EE"/>
    <w:lvl w:ilvl="0" w:tplc="74F44AC2">
      <w:start w:val="1"/>
      <w:numFmt w:val="decimal"/>
      <w:lvlText w:val="(%1)"/>
      <w:lvlJc w:val="left"/>
      <w:pPr>
        <w:ind w:left="111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" w15:restartNumberingAfterBreak="0">
    <w:nsid w:val="0D8606B1"/>
    <w:multiLevelType w:val="hybridMultilevel"/>
    <w:tmpl w:val="CD1C58EE"/>
    <w:lvl w:ilvl="0" w:tplc="74F44AC2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296474E"/>
    <w:multiLevelType w:val="hybridMultilevel"/>
    <w:tmpl w:val="B6B2514E"/>
    <w:lvl w:ilvl="0" w:tplc="78CA725E">
      <w:start w:val="1"/>
      <w:numFmt w:val="ideographDigital"/>
      <w:lvlText w:val="%1、"/>
      <w:lvlJc w:val="left"/>
      <w:pPr>
        <w:ind w:left="480" w:hanging="480"/>
      </w:pPr>
      <w:rPr>
        <w:rFonts w:ascii="Arial Black" w:hAnsi="Arial Black" w:hint="default"/>
        <w:i w:val="0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0B18F5"/>
    <w:multiLevelType w:val="hybridMultilevel"/>
    <w:tmpl w:val="31F27CF4"/>
    <w:lvl w:ilvl="0" w:tplc="3A88D05A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9578D3"/>
    <w:multiLevelType w:val="hybridMultilevel"/>
    <w:tmpl w:val="4E904DC2"/>
    <w:lvl w:ilvl="0" w:tplc="B4E8B7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D02DAB"/>
    <w:multiLevelType w:val="hybridMultilevel"/>
    <w:tmpl w:val="7D521B44"/>
    <w:lvl w:ilvl="0" w:tplc="74F44AC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74F44AC2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C300C0"/>
    <w:multiLevelType w:val="hybridMultilevel"/>
    <w:tmpl w:val="8E96A7FE"/>
    <w:lvl w:ilvl="0" w:tplc="3DF4493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B95266"/>
    <w:multiLevelType w:val="hybridMultilevel"/>
    <w:tmpl w:val="8E96A7FE"/>
    <w:lvl w:ilvl="0" w:tplc="3DF4493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284708D"/>
    <w:multiLevelType w:val="hybridMultilevel"/>
    <w:tmpl w:val="42F89306"/>
    <w:lvl w:ilvl="0" w:tplc="3A88D05A">
      <w:start w:val="1"/>
      <w:numFmt w:val="decimal"/>
      <w:lvlText w:val="%1、"/>
      <w:lvlJc w:val="left"/>
      <w:pPr>
        <w:ind w:left="480" w:hanging="480"/>
      </w:pPr>
      <w:rPr>
        <w:rFonts w:asciiTheme="minorHAnsi" w:hAnsiTheme="minorHAnsi" w:hint="default"/>
        <w:b w:val="0"/>
      </w:rPr>
    </w:lvl>
    <w:lvl w:ilvl="1" w:tplc="D5D62E62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CFC1FF0"/>
    <w:multiLevelType w:val="hybridMultilevel"/>
    <w:tmpl w:val="0F0C84F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1FC"/>
    <w:rsid w:val="000F6969"/>
    <w:rsid w:val="0014403A"/>
    <w:rsid w:val="00175EC9"/>
    <w:rsid w:val="003C1E51"/>
    <w:rsid w:val="00404FC0"/>
    <w:rsid w:val="00443FC4"/>
    <w:rsid w:val="004E1294"/>
    <w:rsid w:val="006C64B6"/>
    <w:rsid w:val="00744873"/>
    <w:rsid w:val="00777235"/>
    <w:rsid w:val="008A76BC"/>
    <w:rsid w:val="008F6A5B"/>
    <w:rsid w:val="00993A6A"/>
    <w:rsid w:val="009D7958"/>
    <w:rsid w:val="00A67502"/>
    <w:rsid w:val="00A77650"/>
    <w:rsid w:val="00B05BF7"/>
    <w:rsid w:val="00B07B83"/>
    <w:rsid w:val="00CD6F15"/>
    <w:rsid w:val="00E3177C"/>
    <w:rsid w:val="00E741FC"/>
    <w:rsid w:val="00F6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48A8B7-415C-4B26-9446-DC06C418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958"/>
    <w:pPr>
      <w:ind w:left="480"/>
    </w:pPr>
  </w:style>
  <w:style w:type="paragraph" w:styleId="a4">
    <w:name w:val="Balloon Text"/>
    <w:basedOn w:val="a"/>
    <w:link w:val="a5"/>
    <w:uiPriority w:val="99"/>
    <w:semiHidden/>
    <w:unhideWhenUsed/>
    <w:rsid w:val="008F6A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F6A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洪翊甯(Macgyver Hung)</cp:lastModifiedBy>
  <cp:revision>5</cp:revision>
  <dcterms:created xsi:type="dcterms:W3CDTF">2021-02-20T03:14:00Z</dcterms:created>
  <dcterms:modified xsi:type="dcterms:W3CDTF">2021-02-20T03:19:00Z</dcterms:modified>
</cp:coreProperties>
</file>