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83F" w:rsidRPr="00B71B1E" w:rsidRDefault="0051283F" w:rsidP="00B71B1E">
      <w:pPr>
        <w:pStyle w:val="Heading1"/>
        <w:spacing w:before="0"/>
        <w:jc w:val="left"/>
        <w:rPr>
          <w:rFonts w:ascii="Calibri" w:hAnsi="Calibri"/>
          <w:sz w:val="20"/>
        </w:rPr>
      </w:pPr>
    </w:p>
    <w:p w:rsidR="00B71B1E" w:rsidRPr="00B71B1E" w:rsidRDefault="00B71B1E" w:rsidP="00B71B1E">
      <w:pPr>
        <w:rPr>
          <w:rFonts w:ascii="Calibri" w:hAnsi="Calibri"/>
        </w:rPr>
      </w:pPr>
    </w:p>
    <w:p w:rsidR="00B71B1E" w:rsidRPr="00B71B1E" w:rsidRDefault="00B71B1E" w:rsidP="00B71B1E">
      <w:pPr>
        <w:rPr>
          <w:rFonts w:ascii="Calibri" w:hAnsi="Calibri"/>
        </w:rPr>
      </w:pPr>
    </w:p>
    <w:p w:rsidR="00B71B1E" w:rsidRPr="00B71B1E" w:rsidRDefault="00B71B1E" w:rsidP="00B71B1E">
      <w:pPr>
        <w:rPr>
          <w:rFonts w:ascii="Calibri" w:hAnsi="Calibri"/>
        </w:rPr>
      </w:pPr>
    </w:p>
    <w:p w:rsidR="00B71B1E" w:rsidRPr="00B71B1E" w:rsidRDefault="00B71B1E" w:rsidP="00B71B1E">
      <w:pPr>
        <w:rPr>
          <w:rFonts w:ascii="Calibri" w:hAnsi="Calibri"/>
        </w:rPr>
      </w:pPr>
    </w:p>
    <w:tbl>
      <w:tblPr>
        <w:tblpPr w:leftFromText="180" w:rightFromText="180" w:vertAnchor="text" w:horzAnchor="margin" w:tblpY="-55"/>
        <w:tblW w:w="0" w:type="auto"/>
        <w:tblBorders>
          <w:top w:val="single" w:sz="12" w:space="0" w:color="auto"/>
          <w:left w:val="single" w:sz="12" w:space="0" w:color="auto"/>
          <w:bottom w:val="single" w:sz="12" w:space="0" w:color="auto"/>
          <w:right w:val="single" w:sz="12" w:space="0" w:color="auto"/>
        </w:tblBorders>
        <w:tblLook w:val="04A0"/>
      </w:tblPr>
      <w:tblGrid>
        <w:gridCol w:w="10421"/>
      </w:tblGrid>
      <w:tr w:rsidR="00B71B1E" w:rsidRPr="00B71B1E" w:rsidTr="00B71B1E">
        <w:tc>
          <w:tcPr>
            <w:tcW w:w="10421" w:type="dxa"/>
          </w:tcPr>
          <w:p w:rsidR="00B71B1E" w:rsidRPr="00B71B1E" w:rsidRDefault="00B71B1E" w:rsidP="00B71B1E">
            <w:pPr>
              <w:pStyle w:val="Heading3"/>
              <w:spacing w:before="0"/>
              <w:rPr>
                <w:rFonts w:ascii="Calibri" w:hAnsi="Calibri"/>
                <w:sz w:val="32"/>
              </w:rPr>
            </w:pPr>
          </w:p>
          <w:p w:rsidR="00B71B1E" w:rsidRPr="00B71B1E" w:rsidRDefault="00B71B1E" w:rsidP="00B47ABE">
            <w:pPr>
              <w:jc w:val="center"/>
              <w:rPr>
                <w:rFonts w:ascii="Calibri" w:hAnsi="Calibri"/>
                <w:b/>
                <w:sz w:val="32"/>
                <w:szCs w:val="32"/>
              </w:rPr>
            </w:pPr>
            <w:r w:rsidRPr="00B71B1E">
              <w:rPr>
                <w:rFonts w:ascii="Calibri" w:hAnsi="Calibri"/>
                <w:b/>
                <w:sz w:val="32"/>
                <w:szCs w:val="32"/>
              </w:rPr>
              <w:t>Protocol for Radiography</w:t>
            </w:r>
          </w:p>
          <w:p w:rsidR="00B71B1E" w:rsidRPr="00B71B1E" w:rsidRDefault="00B71B1E" w:rsidP="00B71B1E">
            <w:pPr>
              <w:pStyle w:val="Heading3"/>
              <w:spacing w:before="0"/>
              <w:rPr>
                <w:rFonts w:ascii="Calibri" w:hAnsi="Calibri"/>
                <w:sz w:val="28"/>
              </w:rPr>
            </w:pPr>
          </w:p>
        </w:tc>
      </w:tr>
    </w:tbl>
    <w:p w:rsidR="0051283F" w:rsidRPr="00B71B1E" w:rsidRDefault="00EA175A" w:rsidP="00B71B1E">
      <w:pPr>
        <w:pStyle w:val="Heading1"/>
        <w:jc w:val="left"/>
        <w:rPr>
          <w:rFonts w:ascii="Calibri" w:hAnsi="Calibri"/>
          <w:sz w:val="28"/>
          <w:szCs w:val="24"/>
        </w:rPr>
      </w:pPr>
      <w:r>
        <w:rPr>
          <w:rFonts w:ascii="Calibri" w:hAnsi="Calibri"/>
          <w:sz w:val="28"/>
          <w:szCs w:val="24"/>
        </w:rPr>
        <w:t>Equipment</w:t>
      </w:r>
      <w:r w:rsidR="0051283F" w:rsidRPr="00B71B1E">
        <w:rPr>
          <w:rFonts w:ascii="Calibri" w:hAnsi="Calibri"/>
          <w:sz w:val="28"/>
          <w:szCs w:val="24"/>
        </w:rPr>
        <w:t xml:space="preserve"> type</w:t>
      </w:r>
    </w:p>
    <w:p w:rsidR="0051283F" w:rsidRPr="00B71B1E" w:rsidRDefault="0051283F" w:rsidP="00B71B1E">
      <w:pPr>
        <w:rPr>
          <w:rFonts w:ascii="Calibri" w:hAnsi="Calibri"/>
          <w:szCs w:val="24"/>
        </w:rPr>
      </w:pPr>
    </w:p>
    <w:p w:rsidR="0051283F" w:rsidRPr="00B71B1E" w:rsidRDefault="00A311A5" w:rsidP="00093626">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i/>
          <w:szCs w:val="24"/>
        </w:rPr>
      </w:pPr>
      <w:r w:rsidRPr="00B71B1E">
        <w:rPr>
          <w:rFonts w:ascii="Calibri" w:hAnsi="Calibri"/>
          <w:i/>
          <w:szCs w:val="24"/>
          <w:highlight w:val="yellow"/>
        </w:rPr>
        <w:t>Enter equipment type here</w:t>
      </w:r>
    </w:p>
    <w:p w:rsidR="0051283F" w:rsidRPr="00B71B1E" w:rsidRDefault="0051283F" w:rsidP="00B71B1E">
      <w:pPr>
        <w:pStyle w:val="Heading1"/>
        <w:jc w:val="left"/>
        <w:rPr>
          <w:rFonts w:ascii="Calibri" w:hAnsi="Calibri"/>
          <w:sz w:val="28"/>
          <w:szCs w:val="24"/>
        </w:rPr>
      </w:pPr>
      <w:r w:rsidRPr="00B71B1E">
        <w:rPr>
          <w:rFonts w:ascii="Calibri" w:hAnsi="Calibri"/>
          <w:sz w:val="28"/>
          <w:szCs w:val="24"/>
        </w:rPr>
        <w:t>Patient Protection</w:t>
      </w:r>
    </w:p>
    <w:p w:rsidR="00B71B1E" w:rsidRDefault="00B71B1E"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p>
    <w:p w:rsidR="0051283F" w:rsidRPr="00B71B1E" w:rsidRDefault="0051283F"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r w:rsidRPr="00B71B1E">
        <w:rPr>
          <w:rFonts w:ascii="Calibri" w:hAnsi="Calibri"/>
          <w:szCs w:val="24"/>
        </w:rPr>
        <w:t>A thyroid collar should be used for all patients where the thyroid is likely to be near or in the main beam.</w:t>
      </w:r>
    </w:p>
    <w:p w:rsidR="00B71B1E" w:rsidRDefault="00B71B1E" w:rsidP="00B71B1E">
      <w:pPr>
        <w:tabs>
          <w:tab w:val="left" w:pos="680"/>
          <w:tab w:val="left" w:pos="1361"/>
          <w:tab w:val="left" w:pos="1418"/>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p>
    <w:p w:rsidR="0051283F" w:rsidRPr="00B71B1E" w:rsidRDefault="0051283F" w:rsidP="00B71B1E">
      <w:pPr>
        <w:tabs>
          <w:tab w:val="left" w:pos="680"/>
          <w:tab w:val="left" w:pos="1361"/>
          <w:tab w:val="left" w:pos="1418"/>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r w:rsidRPr="00B71B1E">
        <w:rPr>
          <w:rFonts w:ascii="Calibri" w:hAnsi="Calibri"/>
          <w:szCs w:val="24"/>
        </w:rPr>
        <w:t>Protective lead aprons should also be available for patient use  and should be used whenever the main beam is directed towards the patient's trunk e.g. during vertex occlusal view.</w:t>
      </w:r>
    </w:p>
    <w:p w:rsidR="00B71B1E" w:rsidRDefault="00B71B1E"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p>
    <w:p w:rsidR="00B71B1E" w:rsidRDefault="00B71B1E"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p>
    <w:p w:rsidR="0051283F" w:rsidRPr="00B71B1E" w:rsidRDefault="0051283F"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r w:rsidRPr="00B71B1E">
        <w:rPr>
          <w:rFonts w:ascii="Calibri" w:hAnsi="Calibri"/>
          <w:szCs w:val="24"/>
        </w:rPr>
        <w:t>Collars and aprons should not be less than 0.25 mm Pb equivalence and should be properly supported when not in use (i.e. not folded). They should be examined regularly to ensure no cracks have developed and replaced when necessary.</w:t>
      </w:r>
    </w:p>
    <w:p w:rsidR="0051283F" w:rsidRPr="00B71B1E" w:rsidRDefault="0051283F" w:rsidP="00B71B1E">
      <w:pPr>
        <w:pStyle w:val="Heading1"/>
        <w:jc w:val="left"/>
        <w:rPr>
          <w:rFonts w:ascii="Calibri" w:hAnsi="Calibri"/>
          <w:sz w:val="28"/>
          <w:szCs w:val="24"/>
        </w:rPr>
      </w:pPr>
      <w:r w:rsidRPr="00B71B1E">
        <w:rPr>
          <w:rFonts w:ascii="Calibri" w:hAnsi="Calibri"/>
          <w:sz w:val="28"/>
          <w:szCs w:val="24"/>
        </w:rPr>
        <w:t>Equipment film speed setting</w:t>
      </w:r>
    </w:p>
    <w:p w:rsidR="00C453F1" w:rsidRPr="00B71B1E" w:rsidRDefault="00C453F1" w:rsidP="00B71B1E">
      <w:pPr>
        <w:rPr>
          <w:rFonts w:ascii="Calibri" w:hAnsi="Calibri"/>
          <w:szCs w:val="24"/>
        </w:rPr>
      </w:pPr>
    </w:p>
    <w:p w:rsidR="00C453F1" w:rsidRPr="00B71B1E" w:rsidRDefault="00C453F1" w:rsidP="00B71B1E">
      <w:pPr>
        <w:pStyle w:val="NoSpacing"/>
        <w:rPr>
          <w:rFonts w:ascii="Calibri" w:hAnsi="Calibri"/>
          <w:szCs w:val="24"/>
        </w:rPr>
      </w:pPr>
      <w:r w:rsidRPr="00B71B1E">
        <w:rPr>
          <w:rFonts w:ascii="Calibri" w:hAnsi="Calibri"/>
          <w:szCs w:val="24"/>
        </w:rPr>
        <w:t>It is recommended that the completed exposure chart be displayed alongside the relevant X-ray set</w:t>
      </w:r>
    </w:p>
    <w:p w:rsidR="00C453F1" w:rsidRPr="00B71B1E" w:rsidRDefault="00C453F1" w:rsidP="00B71B1E">
      <w:pPr>
        <w:pStyle w:val="NoSpacing"/>
        <w:rPr>
          <w:rFonts w:ascii="Calibri" w:hAnsi="Calibri"/>
          <w:szCs w:val="24"/>
        </w:rPr>
      </w:pPr>
    </w:p>
    <w:p w:rsidR="00C453F1" w:rsidRPr="00B71B1E" w:rsidRDefault="00C453F1" w:rsidP="00B71B1E">
      <w:pPr>
        <w:pStyle w:val="NoSpacing"/>
        <w:rPr>
          <w:rFonts w:ascii="Calibri" w:hAnsi="Calibri"/>
          <w:szCs w:val="24"/>
        </w:rPr>
      </w:pPr>
      <w:r w:rsidRPr="00B71B1E">
        <w:rPr>
          <w:rFonts w:ascii="Calibri" w:hAnsi="Calibri"/>
          <w:szCs w:val="24"/>
        </w:rPr>
        <w:t>Below is an example of an adult exposure chart that should be completed each time that the machine in question is calibrated by the RPA service.  The text in red should be changed as appropriate.</w:t>
      </w:r>
    </w:p>
    <w:p w:rsidR="00C453F1" w:rsidRPr="00B71B1E" w:rsidRDefault="00C453F1" w:rsidP="00B71B1E">
      <w:pPr>
        <w:pStyle w:val="NoSpacing"/>
        <w:rPr>
          <w:rFonts w:ascii="Calibri" w:hAnsi="Calibri"/>
          <w:szCs w:val="24"/>
        </w:rPr>
      </w:pPr>
    </w:p>
    <w:p w:rsidR="00C453F1" w:rsidRPr="00B71B1E" w:rsidRDefault="00C453F1" w:rsidP="00B71B1E">
      <w:pPr>
        <w:pStyle w:val="NoSpacing"/>
        <w:rPr>
          <w:rFonts w:ascii="Calibri" w:hAnsi="Calibri"/>
          <w:szCs w:val="24"/>
        </w:rPr>
      </w:pPr>
      <w:r w:rsidRPr="00B71B1E">
        <w:rPr>
          <w:rFonts w:ascii="Calibri" w:hAnsi="Calibri"/>
          <w:szCs w:val="24"/>
        </w:rPr>
        <w:t>Film speed setting (or equivalent)</w:t>
      </w:r>
      <w:r w:rsidRPr="00B71B1E">
        <w:rPr>
          <w:rFonts w:ascii="Calibri" w:hAnsi="Calibri"/>
          <w:szCs w:val="24"/>
        </w:rPr>
        <w:tab/>
      </w:r>
      <w:r w:rsidR="00280D62" w:rsidRPr="00B71B1E">
        <w:rPr>
          <w:rFonts w:ascii="Calibri" w:hAnsi="Calibri"/>
          <w:szCs w:val="24"/>
        </w:rPr>
        <w:t>____________________________________</w:t>
      </w:r>
    </w:p>
    <w:p w:rsidR="00A311A5" w:rsidRDefault="00A311A5"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Default="00B71B1E" w:rsidP="00B71B1E">
      <w:pPr>
        <w:rPr>
          <w:rFonts w:ascii="Calibri" w:hAnsi="Calibri"/>
          <w:szCs w:val="24"/>
        </w:rPr>
      </w:pPr>
    </w:p>
    <w:p w:rsidR="00B71B1E" w:rsidRPr="00B71B1E" w:rsidRDefault="00B71B1E" w:rsidP="00B71B1E">
      <w:pPr>
        <w:rPr>
          <w:rFonts w:ascii="Calibri" w:hAnsi="Calibri"/>
          <w:szCs w:val="24"/>
        </w:rPr>
      </w:pPr>
    </w:p>
    <w:p w:rsidR="001A0D18" w:rsidRDefault="001A0D18" w:rsidP="00B71B1E">
      <w:pPr>
        <w:pStyle w:val="Heading1"/>
        <w:jc w:val="left"/>
        <w:rPr>
          <w:rFonts w:ascii="Calibri" w:hAnsi="Calibri"/>
          <w:szCs w:val="24"/>
        </w:rPr>
      </w:pPr>
    </w:p>
    <w:p w:rsidR="001A0D18" w:rsidRDefault="001A0D18" w:rsidP="001A0D18"/>
    <w:p w:rsidR="001A0D18" w:rsidRDefault="001A0D18" w:rsidP="001A0D18"/>
    <w:p w:rsidR="001A0D18" w:rsidRDefault="001A0D18" w:rsidP="001A0D18"/>
    <w:p w:rsidR="001A0D18" w:rsidRDefault="001A0D18" w:rsidP="001A0D18"/>
    <w:tbl>
      <w:tblPr>
        <w:tblpPr w:leftFromText="180" w:rightFromText="180" w:vertAnchor="page" w:horzAnchor="margin" w:tblpXSpec="center" w:tblpY="3099"/>
        <w:tblW w:w="11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452"/>
        <w:gridCol w:w="567"/>
        <w:gridCol w:w="709"/>
        <w:gridCol w:w="567"/>
        <w:gridCol w:w="567"/>
        <w:gridCol w:w="708"/>
        <w:gridCol w:w="1134"/>
        <w:gridCol w:w="1134"/>
        <w:gridCol w:w="2977"/>
      </w:tblGrid>
      <w:tr w:rsidR="001A0D18" w:rsidRPr="00B71B1E" w:rsidTr="00330AFD">
        <w:tc>
          <w:tcPr>
            <w:tcW w:w="1526" w:type="dxa"/>
            <w:shd w:val="clear" w:color="auto" w:fill="B8CCE4"/>
          </w:tcPr>
          <w:p w:rsidR="001A0D18" w:rsidRPr="00B71B1E" w:rsidRDefault="001A0D18" w:rsidP="001A0D18">
            <w:pPr>
              <w:rPr>
                <w:rFonts w:ascii="Calibri" w:hAnsi="Calibri"/>
                <w:szCs w:val="24"/>
              </w:rPr>
            </w:pPr>
          </w:p>
          <w:p w:rsidR="001A0D18" w:rsidRPr="00B71B1E" w:rsidRDefault="00330AFD" w:rsidP="001A0D18">
            <w:pPr>
              <w:rPr>
                <w:rFonts w:ascii="Calibri" w:hAnsi="Calibri"/>
                <w:szCs w:val="24"/>
              </w:rPr>
            </w:pPr>
            <w:r>
              <w:rPr>
                <w:rFonts w:ascii="Calibri" w:hAnsi="Calibri"/>
                <w:szCs w:val="24"/>
              </w:rPr>
              <w:t>Examination</w:t>
            </w:r>
          </w:p>
        </w:tc>
        <w:tc>
          <w:tcPr>
            <w:tcW w:w="1452"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X-ray Machine Settings</w:t>
            </w:r>
          </w:p>
        </w:tc>
        <w:tc>
          <w:tcPr>
            <w:tcW w:w="567"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kV</w:t>
            </w:r>
          </w:p>
        </w:tc>
        <w:tc>
          <w:tcPr>
            <w:tcW w:w="709"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mAs</w:t>
            </w:r>
          </w:p>
        </w:tc>
        <w:tc>
          <w:tcPr>
            <w:tcW w:w="567"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mA</w:t>
            </w:r>
          </w:p>
        </w:tc>
        <w:tc>
          <w:tcPr>
            <w:tcW w:w="567"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sec</w:t>
            </w:r>
          </w:p>
        </w:tc>
        <w:tc>
          <w:tcPr>
            <w:tcW w:w="708" w:type="dxa"/>
            <w:shd w:val="clear" w:color="auto" w:fill="B8CCE4"/>
          </w:tcPr>
          <w:p w:rsidR="001A0D18" w:rsidRPr="00B71B1E" w:rsidRDefault="001A0D18" w:rsidP="001A0D18">
            <w:pPr>
              <w:rPr>
                <w:rFonts w:ascii="Calibri" w:hAnsi="Calibri"/>
                <w:szCs w:val="24"/>
              </w:rPr>
            </w:pPr>
            <w:r w:rsidRPr="00B71B1E">
              <w:rPr>
                <w:rFonts w:ascii="Calibri" w:hAnsi="Calibri"/>
                <w:szCs w:val="24"/>
              </w:rPr>
              <w:t>FSD or FFD cms</w:t>
            </w:r>
          </w:p>
        </w:tc>
        <w:tc>
          <w:tcPr>
            <w:tcW w:w="1134"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Ref. Dose</w:t>
            </w:r>
          </w:p>
        </w:tc>
        <w:tc>
          <w:tcPr>
            <w:tcW w:w="1134"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Local DRL</w:t>
            </w:r>
          </w:p>
        </w:tc>
        <w:tc>
          <w:tcPr>
            <w:tcW w:w="2977" w:type="dxa"/>
            <w:shd w:val="clear" w:color="auto" w:fill="B8CCE4"/>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Specific Comments</w:t>
            </w:r>
          </w:p>
          <w:p w:rsidR="001A0D18" w:rsidRPr="00B71B1E" w:rsidRDefault="001A0D18" w:rsidP="001A0D18">
            <w:pPr>
              <w:rPr>
                <w:rFonts w:ascii="Calibri" w:hAnsi="Calibri"/>
                <w:szCs w:val="24"/>
              </w:rPr>
            </w:pPr>
          </w:p>
        </w:tc>
      </w:tr>
      <w:tr w:rsidR="001A0D18" w:rsidRPr="00B71B1E" w:rsidTr="00330AFD">
        <w:tc>
          <w:tcPr>
            <w:tcW w:w="1526"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Upper 1-3</w:t>
            </w:r>
          </w:p>
          <w:p w:rsidR="001A0D18" w:rsidRPr="00B71B1E" w:rsidRDefault="001A0D18" w:rsidP="001A0D18">
            <w:pPr>
              <w:rPr>
                <w:rFonts w:ascii="Calibri" w:hAnsi="Calibri"/>
                <w:szCs w:val="24"/>
              </w:rPr>
            </w:pPr>
            <w:r w:rsidRPr="00B71B1E">
              <w:rPr>
                <w:rFonts w:ascii="Calibri" w:hAnsi="Calibri"/>
                <w:szCs w:val="24"/>
              </w:rPr>
              <w:t>4-5</w:t>
            </w:r>
          </w:p>
          <w:p w:rsidR="001A0D18" w:rsidRPr="00B71B1E" w:rsidRDefault="001A0D18" w:rsidP="001A0D18">
            <w:pPr>
              <w:rPr>
                <w:rFonts w:ascii="Calibri" w:hAnsi="Calibri"/>
                <w:szCs w:val="24"/>
              </w:rPr>
            </w:pPr>
            <w:r w:rsidRPr="00B71B1E">
              <w:rPr>
                <w:rFonts w:ascii="Calibri" w:hAnsi="Calibri"/>
                <w:szCs w:val="24"/>
              </w:rPr>
              <w:t>6-8</w:t>
            </w:r>
          </w:p>
        </w:tc>
        <w:tc>
          <w:tcPr>
            <w:tcW w:w="1452"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Adult and incisor</w:t>
            </w:r>
          </w:p>
          <w:p w:rsidR="001A0D18" w:rsidRPr="00B71B1E" w:rsidRDefault="001A0D18" w:rsidP="001A0D18">
            <w:pPr>
              <w:rPr>
                <w:rFonts w:ascii="Calibri" w:hAnsi="Calibri"/>
                <w:szCs w:val="24"/>
              </w:rPr>
            </w:pPr>
            <w:r w:rsidRPr="00B71B1E">
              <w:rPr>
                <w:rFonts w:ascii="Calibri" w:hAnsi="Calibri"/>
                <w:szCs w:val="24"/>
              </w:rPr>
              <w:t>Adult and premolar</w:t>
            </w:r>
          </w:p>
          <w:p w:rsidR="001A0D18" w:rsidRPr="00B71B1E" w:rsidRDefault="001A0D18" w:rsidP="001A0D18">
            <w:pPr>
              <w:rPr>
                <w:rFonts w:ascii="Calibri" w:hAnsi="Calibri"/>
                <w:szCs w:val="24"/>
              </w:rPr>
            </w:pPr>
            <w:r w:rsidRPr="00B71B1E">
              <w:rPr>
                <w:rFonts w:ascii="Calibri" w:hAnsi="Calibri"/>
                <w:szCs w:val="24"/>
              </w:rPr>
              <w:t>Adult and molar</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70</w:t>
            </w:r>
          </w:p>
        </w:tc>
        <w:tc>
          <w:tcPr>
            <w:tcW w:w="709"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1.4</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1.75</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2.8</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0.2</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0.25</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0.4</w:t>
            </w:r>
          </w:p>
        </w:tc>
        <w:tc>
          <w:tcPr>
            <w:tcW w:w="708"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20</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1.4 mGy</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1.9 mGy</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2.0 mGy</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2.1 mGy</w:t>
            </w:r>
          </w:p>
        </w:tc>
        <w:tc>
          <w:tcPr>
            <w:tcW w:w="2977"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Rectangular collimation should be used whenever clinically possible</w:t>
            </w:r>
          </w:p>
        </w:tc>
      </w:tr>
      <w:tr w:rsidR="001A0D18" w:rsidRPr="00B71B1E" w:rsidTr="00330AFD">
        <w:tc>
          <w:tcPr>
            <w:tcW w:w="1526"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Lower 1-3</w:t>
            </w:r>
          </w:p>
          <w:p w:rsidR="001A0D18" w:rsidRPr="00B71B1E" w:rsidRDefault="001A0D18" w:rsidP="001A0D18">
            <w:pPr>
              <w:rPr>
                <w:rFonts w:ascii="Calibri" w:hAnsi="Calibri"/>
                <w:szCs w:val="24"/>
              </w:rPr>
            </w:pPr>
            <w:r w:rsidRPr="00B71B1E">
              <w:rPr>
                <w:rFonts w:ascii="Calibri" w:hAnsi="Calibri"/>
                <w:szCs w:val="24"/>
              </w:rPr>
              <w:t>4-5</w:t>
            </w:r>
          </w:p>
          <w:p w:rsidR="001A0D18" w:rsidRPr="00B71B1E" w:rsidRDefault="001A0D18" w:rsidP="001A0D18">
            <w:pPr>
              <w:rPr>
                <w:rFonts w:ascii="Calibri" w:hAnsi="Calibri"/>
                <w:szCs w:val="24"/>
              </w:rPr>
            </w:pPr>
            <w:r w:rsidRPr="00B71B1E">
              <w:rPr>
                <w:rFonts w:ascii="Calibri" w:hAnsi="Calibri"/>
                <w:szCs w:val="24"/>
              </w:rPr>
              <w:t>6-8</w:t>
            </w:r>
          </w:p>
        </w:tc>
        <w:tc>
          <w:tcPr>
            <w:tcW w:w="1452"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Adult and incisor</w:t>
            </w:r>
          </w:p>
          <w:p w:rsidR="001A0D18" w:rsidRPr="00B71B1E" w:rsidRDefault="001A0D18" w:rsidP="001A0D18">
            <w:pPr>
              <w:rPr>
                <w:rFonts w:ascii="Calibri" w:hAnsi="Calibri"/>
                <w:szCs w:val="24"/>
              </w:rPr>
            </w:pPr>
            <w:r w:rsidRPr="00B71B1E">
              <w:rPr>
                <w:rFonts w:ascii="Calibri" w:hAnsi="Calibri"/>
                <w:szCs w:val="24"/>
              </w:rPr>
              <w:t>Adult and premolar</w:t>
            </w:r>
          </w:p>
          <w:p w:rsidR="001A0D18" w:rsidRPr="00B71B1E" w:rsidRDefault="001A0D18" w:rsidP="001A0D18">
            <w:pPr>
              <w:rPr>
                <w:rFonts w:ascii="Calibri" w:hAnsi="Calibri"/>
                <w:szCs w:val="24"/>
              </w:rPr>
            </w:pPr>
            <w:r w:rsidRPr="00B71B1E">
              <w:rPr>
                <w:rFonts w:ascii="Calibri" w:hAnsi="Calibri"/>
                <w:szCs w:val="24"/>
              </w:rPr>
              <w:t>Adult and molar</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70</w:t>
            </w:r>
          </w:p>
        </w:tc>
        <w:tc>
          <w:tcPr>
            <w:tcW w:w="709"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1.12</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1.4</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2.24</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0.16</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0.2</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0.32</w:t>
            </w:r>
          </w:p>
        </w:tc>
        <w:tc>
          <w:tcPr>
            <w:tcW w:w="708"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20</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1.1 mGy</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1.4 mGy</w:t>
            </w:r>
          </w:p>
          <w:p w:rsidR="001A0D18" w:rsidRPr="00B71B1E" w:rsidRDefault="001A0D18" w:rsidP="001A0D18">
            <w:pPr>
              <w:jc w:val="both"/>
              <w:rPr>
                <w:rFonts w:ascii="Calibri" w:hAnsi="Calibri"/>
                <w:color w:val="FF0000"/>
                <w:szCs w:val="24"/>
              </w:rPr>
            </w:pPr>
            <w:r w:rsidRPr="00B71B1E">
              <w:rPr>
                <w:rFonts w:ascii="Calibri" w:hAnsi="Calibri"/>
                <w:color w:val="FF0000"/>
                <w:szCs w:val="24"/>
              </w:rPr>
              <w:t>1.6 mGy</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1.7 mGy</w:t>
            </w:r>
          </w:p>
        </w:tc>
        <w:tc>
          <w:tcPr>
            <w:tcW w:w="2977"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Rectangular collimation should be used whenever clinically possible</w:t>
            </w:r>
          </w:p>
        </w:tc>
      </w:tr>
      <w:tr w:rsidR="001A0D18" w:rsidRPr="00B71B1E" w:rsidTr="00330AFD">
        <w:tc>
          <w:tcPr>
            <w:tcW w:w="1526"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Bitewing</w:t>
            </w:r>
          </w:p>
        </w:tc>
        <w:tc>
          <w:tcPr>
            <w:tcW w:w="1452"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Adult and appropriate tooth</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70</w:t>
            </w:r>
          </w:p>
        </w:tc>
        <w:tc>
          <w:tcPr>
            <w:tcW w:w="709"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2.24</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0.32</w:t>
            </w:r>
          </w:p>
        </w:tc>
        <w:tc>
          <w:tcPr>
            <w:tcW w:w="708"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20</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1.6 mGy</w:t>
            </w:r>
          </w:p>
        </w:tc>
        <w:tc>
          <w:tcPr>
            <w:tcW w:w="1134" w:type="dxa"/>
          </w:tcPr>
          <w:p w:rsidR="001A0D18" w:rsidRPr="00B71B1E" w:rsidRDefault="001A0D18" w:rsidP="001A0D18">
            <w:pPr>
              <w:jc w:val="both"/>
              <w:rPr>
                <w:rFonts w:ascii="Calibri" w:hAnsi="Calibri"/>
                <w:color w:val="FF0000"/>
                <w:szCs w:val="24"/>
              </w:rPr>
            </w:pPr>
          </w:p>
        </w:tc>
        <w:tc>
          <w:tcPr>
            <w:tcW w:w="2977"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Rectangular collimation should be used whenever clinically possible</w:t>
            </w:r>
          </w:p>
        </w:tc>
      </w:tr>
      <w:tr w:rsidR="001A0D18" w:rsidRPr="00B71B1E" w:rsidTr="00330AFD">
        <w:tc>
          <w:tcPr>
            <w:tcW w:w="1526"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Occlusals</w:t>
            </w:r>
          </w:p>
        </w:tc>
        <w:tc>
          <w:tcPr>
            <w:tcW w:w="1452"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Adult and occlusal</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70</w:t>
            </w:r>
          </w:p>
        </w:tc>
        <w:tc>
          <w:tcPr>
            <w:tcW w:w="709"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2.24</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0.32</w:t>
            </w:r>
          </w:p>
        </w:tc>
        <w:tc>
          <w:tcPr>
            <w:tcW w:w="708"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20</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1.6 mGy</w:t>
            </w:r>
          </w:p>
        </w:tc>
        <w:tc>
          <w:tcPr>
            <w:tcW w:w="1134" w:type="dxa"/>
          </w:tcPr>
          <w:p w:rsidR="001A0D18" w:rsidRPr="00B71B1E" w:rsidRDefault="001A0D18" w:rsidP="001A0D18">
            <w:pPr>
              <w:jc w:val="both"/>
              <w:rPr>
                <w:rFonts w:ascii="Calibri" w:hAnsi="Calibri"/>
                <w:color w:val="FF0000"/>
                <w:szCs w:val="24"/>
              </w:rPr>
            </w:pPr>
          </w:p>
        </w:tc>
        <w:tc>
          <w:tcPr>
            <w:tcW w:w="2977"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Rectangular collimation should be used whenever clinically possible</w:t>
            </w:r>
          </w:p>
        </w:tc>
      </w:tr>
      <w:tr w:rsidR="001A0D18" w:rsidRPr="00B71B1E" w:rsidTr="00330AFD">
        <w:tc>
          <w:tcPr>
            <w:tcW w:w="1526"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Lat Ceph</w:t>
            </w:r>
          </w:p>
        </w:tc>
        <w:tc>
          <w:tcPr>
            <w:tcW w:w="1452"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Standard</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90</w:t>
            </w:r>
          </w:p>
        </w:tc>
        <w:tc>
          <w:tcPr>
            <w:tcW w:w="709"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20</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0.3</w:t>
            </w:r>
          </w:p>
        </w:tc>
        <w:tc>
          <w:tcPr>
            <w:tcW w:w="708"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150</w:t>
            </w: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330AFD">
            <w:pPr>
              <w:rPr>
                <w:rFonts w:ascii="Calibri" w:hAnsi="Calibri"/>
                <w:color w:val="FF0000"/>
                <w:szCs w:val="24"/>
              </w:rPr>
            </w:pPr>
            <w:r w:rsidRPr="00B71B1E">
              <w:rPr>
                <w:rFonts w:ascii="Calibri" w:hAnsi="Calibri"/>
                <w:color w:val="FF0000"/>
                <w:szCs w:val="24"/>
              </w:rPr>
              <w:t>40 mGy cm</w:t>
            </w:r>
            <w:r w:rsidRPr="00B71B1E">
              <w:rPr>
                <w:rFonts w:ascii="Calibri" w:hAnsi="Calibri"/>
                <w:color w:val="FF0000"/>
                <w:szCs w:val="24"/>
                <w:vertAlign w:val="superscript"/>
              </w:rPr>
              <w:t>2</w:t>
            </w:r>
          </w:p>
        </w:tc>
        <w:tc>
          <w:tcPr>
            <w:tcW w:w="1134" w:type="dxa"/>
          </w:tcPr>
          <w:p w:rsidR="001A0D18" w:rsidRPr="00B71B1E" w:rsidRDefault="001A0D18" w:rsidP="00330AFD">
            <w:pPr>
              <w:rPr>
                <w:rFonts w:ascii="Calibri" w:hAnsi="Calibri"/>
                <w:color w:val="FF0000"/>
                <w:szCs w:val="24"/>
              </w:rPr>
            </w:pPr>
          </w:p>
          <w:p w:rsidR="001A0D18" w:rsidRPr="00B71B1E" w:rsidRDefault="001A0D18" w:rsidP="00330AFD">
            <w:pPr>
              <w:rPr>
                <w:rFonts w:ascii="Calibri" w:hAnsi="Calibri"/>
                <w:color w:val="FF0000"/>
                <w:szCs w:val="24"/>
              </w:rPr>
            </w:pPr>
            <w:r w:rsidRPr="00B71B1E">
              <w:rPr>
                <w:rFonts w:ascii="Calibri" w:hAnsi="Calibri"/>
                <w:color w:val="FF0000"/>
                <w:szCs w:val="24"/>
              </w:rPr>
              <w:t>40 mGy cm</w:t>
            </w:r>
            <w:r w:rsidRPr="00B71B1E">
              <w:rPr>
                <w:rFonts w:ascii="Calibri" w:hAnsi="Calibri"/>
                <w:color w:val="FF0000"/>
                <w:szCs w:val="24"/>
                <w:vertAlign w:val="superscript"/>
              </w:rPr>
              <w:t>2</w:t>
            </w:r>
          </w:p>
        </w:tc>
        <w:tc>
          <w:tcPr>
            <w:tcW w:w="2977"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If possible, limit field to area of interest</w:t>
            </w:r>
          </w:p>
        </w:tc>
      </w:tr>
      <w:tr w:rsidR="001A0D18" w:rsidRPr="00B71B1E" w:rsidTr="00330AFD">
        <w:tc>
          <w:tcPr>
            <w:tcW w:w="1526"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Panoramic</w:t>
            </w:r>
          </w:p>
        </w:tc>
        <w:tc>
          <w:tcPr>
            <w:tcW w:w="1452"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Standard jaw</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73</w:t>
            </w:r>
          </w:p>
        </w:tc>
        <w:tc>
          <w:tcPr>
            <w:tcW w:w="709"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8</w:t>
            </w:r>
          </w:p>
        </w:tc>
        <w:tc>
          <w:tcPr>
            <w:tcW w:w="567"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10</w:t>
            </w:r>
          </w:p>
        </w:tc>
        <w:tc>
          <w:tcPr>
            <w:tcW w:w="708" w:type="dxa"/>
          </w:tcPr>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p>
          <w:p w:rsidR="001A0D18" w:rsidRPr="00B71B1E" w:rsidRDefault="001A0D18" w:rsidP="001A0D18">
            <w:pPr>
              <w:jc w:val="both"/>
              <w:rPr>
                <w:rFonts w:ascii="Calibri" w:hAnsi="Calibri"/>
                <w:color w:val="FF0000"/>
                <w:szCs w:val="24"/>
              </w:rPr>
            </w:pPr>
            <w:r w:rsidRPr="00B71B1E">
              <w:rPr>
                <w:rFonts w:ascii="Calibri" w:hAnsi="Calibri"/>
                <w:color w:val="FF0000"/>
                <w:szCs w:val="24"/>
              </w:rPr>
              <w:t>-</w:t>
            </w:r>
          </w:p>
          <w:p w:rsidR="001A0D18" w:rsidRPr="00B71B1E" w:rsidRDefault="001A0D18" w:rsidP="001A0D18">
            <w:pPr>
              <w:jc w:val="both"/>
              <w:rPr>
                <w:rFonts w:ascii="Calibri" w:hAnsi="Calibri"/>
                <w:color w:val="FF0000"/>
                <w:szCs w:val="24"/>
              </w:rPr>
            </w:pPr>
          </w:p>
        </w:tc>
        <w:tc>
          <w:tcPr>
            <w:tcW w:w="1134" w:type="dxa"/>
          </w:tcPr>
          <w:p w:rsidR="001A0D18" w:rsidRPr="00B71B1E" w:rsidRDefault="001A0D18" w:rsidP="001A0D18">
            <w:pPr>
              <w:jc w:val="both"/>
              <w:rPr>
                <w:rFonts w:ascii="Calibri" w:hAnsi="Calibri"/>
                <w:color w:val="FF0000"/>
                <w:szCs w:val="24"/>
              </w:rPr>
            </w:pPr>
          </w:p>
          <w:p w:rsidR="001A0D18" w:rsidRPr="00B71B1E" w:rsidRDefault="001A0D18" w:rsidP="00330AFD">
            <w:pPr>
              <w:rPr>
                <w:rFonts w:ascii="Calibri" w:hAnsi="Calibri"/>
                <w:color w:val="FF0000"/>
                <w:szCs w:val="24"/>
              </w:rPr>
            </w:pPr>
            <w:r w:rsidRPr="00B71B1E">
              <w:rPr>
                <w:rFonts w:ascii="Calibri" w:hAnsi="Calibri"/>
                <w:color w:val="FF0000"/>
                <w:szCs w:val="24"/>
              </w:rPr>
              <w:t>80</w:t>
            </w:r>
            <w:r w:rsidR="00330AFD">
              <w:rPr>
                <w:rFonts w:ascii="Calibri" w:hAnsi="Calibri"/>
                <w:color w:val="FF0000"/>
                <w:szCs w:val="24"/>
              </w:rPr>
              <w:t xml:space="preserve"> </w:t>
            </w:r>
            <w:r w:rsidRPr="00B71B1E">
              <w:rPr>
                <w:rFonts w:ascii="Calibri" w:hAnsi="Calibri"/>
                <w:color w:val="FF0000"/>
                <w:szCs w:val="24"/>
              </w:rPr>
              <w:t>mGy cm</w:t>
            </w:r>
            <w:r w:rsidRPr="00B71B1E">
              <w:rPr>
                <w:rFonts w:ascii="Calibri" w:hAnsi="Calibri"/>
                <w:color w:val="FF0000"/>
                <w:szCs w:val="24"/>
                <w:vertAlign w:val="superscript"/>
              </w:rPr>
              <w:t>2</w:t>
            </w:r>
          </w:p>
        </w:tc>
        <w:tc>
          <w:tcPr>
            <w:tcW w:w="1134" w:type="dxa"/>
          </w:tcPr>
          <w:p w:rsidR="001A0D18" w:rsidRPr="00B71B1E" w:rsidRDefault="001A0D18" w:rsidP="00330AFD">
            <w:pPr>
              <w:rPr>
                <w:rFonts w:ascii="Calibri" w:hAnsi="Calibri"/>
                <w:color w:val="FF0000"/>
                <w:szCs w:val="24"/>
              </w:rPr>
            </w:pPr>
          </w:p>
          <w:p w:rsidR="001A0D18" w:rsidRPr="00B71B1E" w:rsidRDefault="001A0D18" w:rsidP="00330AFD">
            <w:pPr>
              <w:rPr>
                <w:rFonts w:ascii="Calibri" w:hAnsi="Calibri"/>
                <w:color w:val="FF0000"/>
                <w:szCs w:val="24"/>
              </w:rPr>
            </w:pPr>
            <w:r w:rsidRPr="00B71B1E">
              <w:rPr>
                <w:rFonts w:ascii="Calibri" w:hAnsi="Calibri"/>
                <w:color w:val="FF0000"/>
                <w:szCs w:val="24"/>
              </w:rPr>
              <w:t>82 mGy cm</w:t>
            </w:r>
            <w:r w:rsidRPr="00B71B1E">
              <w:rPr>
                <w:rFonts w:ascii="Calibri" w:hAnsi="Calibri"/>
                <w:color w:val="FF0000"/>
                <w:szCs w:val="24"/>
                <w:vertAlign w:val="superscript"/>
              </w:rPr>
              <w:t>2</w:t>
            </w:r>
          </w:p>
        </w:tc>
        <w:tc>
          <w:tcPr>
            <w:tcW w:w="2977" w:type="dxa"/>
          </w:tcPr>
          <w:p w:rsidR="001A0D18" w:rsidRPr="00B71B1E" w:rsidRDefault="001A0D18" w:rsidP="001A0D18">
            <w:pPr>
              <w:rPr>
                <w:rFonts w:ascii="Calibri" w:hAnsi="Calibri"/>
                <w:szCs w:val="24"/>
              </w:rPr>
            </w:pPr>
          </w:p>
          <w:p w:rsidR="001A0D18" w:rsidRPr="00B71B1E" w:rsidRDefault="001A0D18" w:rsidP="001A0D18">
            <w:pPr>
              <w:rPr>
                <w:rFonts w:ascii="Calibri" w:hAnsi="Calibri"/>
                <w:szCs w:val="24"/>
              </w:rPr>
            </w:pPr>
            <w:r w:rsidRPr="00B71B1E">
              <w:rPr>
                <w:rFonts w:ascii="Calibri" w:hAnsi="Calibri"/>
                <w:szCs w:val="24"/>
              </w:rPr>
              <w:t>If possible, limit field to area of interest with written protocols</w:t>
            </w:r>
          </w:p>
        </w:tc>
      </w:tr>
    </w:tbl>
    <w:p w:rsidR="001A0D18" w:rsidRDefault="001A0D18" w:rsidP="001A0D18"/>
    <w:p w:rsidR="001A0D18" w:rsidRPr="001A0D18" w:rsidRDefault="001A0D18" w:rsidP="001A0D18"/>
    <w:p w:rsidR="0051283F" w:rsidRPr="00B71B1E" w:rsidRDefault="0051283F" w:rsidP="00B71B1E">
      <w:pPr>
        <w:pStyle w:val="Heading1"/>
        <w:jc w:val="left"/>
        <w:rPr>
          <w:rFonts w:ascii="Calibri" w:hAnsi="Calibri"/>
          <w:szCs w:val="24"/>
        </w:rPr>
      </w:pPr>
      <w:r w:rsidRPr="00B71B1E">
        <w:rPr>
          <w:rFonts w:ascii="Calibri" w:hAnsi="Calibri"/>
          <w:szCs w:val="24"/>
        </w:rPr>
        <w:t>Technique setting</w:t>
      </w:r>
    </w:p>
    <w:p w:rsidR="0051283F" w:rsidRPr="00B71B1E" w:rsidRDefault="0051283F" w:rsidP="00B71B1E">
      <w:pPr>
        <w:rPr>
          <w:rFonts w:ascii="Calibri" w:hAnsi="Calibri"/>
          <w:szCs w:val="24"/>
        </w:rPr>
      </w:pPr>
    </w:p>
    <w:p w:rsidR="0051283F" w:rsidRPr="00B71B1E" w:rsidRDefault="0051283F" w:rsidP="00A80F56">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r w:rsidRPr="00B71B1E">
        <w:rPr>
          <w:rFonts w:ascii="Calibri" w:hAnsi="Calibri"/>
          <w:szCs w:val="24"/>
        </w:rPr>
        <w:t>Set the appropriate view on the timer unit, adjusting the technique switch for child, adult or adult thick jaw as required.</w:t>
      </w:r>
    </w:p>
    <w:p w:rsidR="0051283F" w:rsidRDefault="0051283F"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p>
    <w:p w:rsidR="00942244" w:rsidRDefault="00942244" w:rsidP="00B71B1E">
      <w:pPr>
        <w:tabs>
          <w:tab w:val="left" w:pos="680"/>
          <w:tab w:val="left" w:pos="1361"/>
          <w:tab w:val="left" w:pos="2041"/>
          <w:tab w:val="left" w:pos="2722"/>
          <w:tab w:val="left" w:pos="3402"/>
          <w:tab w:val="left" w:pos="4082"/>
          <w:tab w:val="left" w:pos="4763"/>
          <w:tab w:val="left" w:pos="5443"/>
          <w:tab w:val="left" w:pos="6124"/>
          <w:tab w:val="left" w:pos="6804"/>
          <w:tab w:val="left" w:pos="7484"/>
          <w:tab w:val="left" w:pos="8165"/>
          <w:tab w:val="left" w:pos="8845"/>
          <w:tab w:val="left" w:pos="9526"/>
        </w:tabs>
        <w:rPr>
          <w:rFonts w:ascii="Calibri" w:hAnsi="Calibri"/>
          <w:szCs w:val="24"/>
        </w:rPr>
      </w:pPr>
    </w:p>
    <w:p w:rsidR="00942244" w:rsidRPr="00233141" w:rsidRDefault="00942244" w:rsidP="00942244">
      <w:pPr>
        <w:rPr>
          <w:rFonts w:ascii="Calibri" w:hAnsi="Calibri"/>
        </w:rPr>
      </w:pPr>
      <w:r w:rsidRPr="00233141">
        <w:rPr>
          <w:rFonts w:ascii="Calibri" w:hAnsi="Calibri"/>
        </w:rPr>
        <w:t>Example procedure produced by:</w:t>
      </w:r>
    </w:p>
    <w:p w:rsidR="00942244" w:rsidRPr="00942244" w:rsidRDefault="00942244" w:rsidP="00942244">
      <w:pPr>
        <w:rPr>
          <w:rFonts w:ascii="Calibri" w:hAnsi="Calibri"/>
        </w:rPr>
      </w:pPr>
      <w:r w:rsidRPr="00233141">
        <w:rPr>
          <w:rFonts w:ascii="Calibri" w:hAnsi="Calibri"/>
        </w:rPr>
        <w:t>IRS Limited</w:t>
      </w:r>
    </w:p>
    <w:sectPr w:rsidR="00942244" w:rsidRPr="00942244" w:rsidSect="00B937B5">
      <w:headerReference w:type="even" r:id="rId6"/>
      <w:headerReference w:type="default" r:id="rId7"/>
      <w:footerReference w:type="even" r:id="rId8"/>
      <w:footerReference w:type="default" r:id="rId9"/>
      <w:headerReference w:type="first" r:id="rId10"/>
      <w:footerReference w:type="first" r:id="rId11"/>
      <w:pgSz w:w="11907" w:h="16840" w:code="9"/>
      <w:pgMar w:top="851" w:right="851" w:bottom="851" w:left="851" w:header="567" w:footer="567" w:gutter="0"/>
      <w:paperSrc w:first="1" w:other="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7A72" w:rsidRDefault="00987A72" w:rsidP="0051283F">
      <w:r>
        <w:separator/>
      </w:r>
    </w:p>
  </w:endnote>
  <w:endnote w:type="continuationSeparator" w:id="0">
    <w:p w:rsidR="00987A72" w:rsidRDefault="00987A72" w:rsidP="005128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04" w:rsidRDefault="004338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A22" w:rsidRPr="005D7560" w:rsidRDefault="00433804" w:rsidP="00B71B1E">
    <w:pPr>
      <w:pStyle w:val="Footer"/>
      <w:pBdr>
        <w:top w:val="single" w:sz="6" w:space="1" w:color="auto"/>
      </w:pBdr>
      <w:tabs>
        <w:tab w:val="center" w:pos="4536"/>
        <w:tab w:val="right" w:pos="9356"/>
      </w:tabs>
      <w:spacing w:after="40"/>
      <w:rPr>
        <w:sz w:val="16"/>
      </w:rPr>
    </w:pPr>
    <w:r>
      <w:rPr>
        <w:sz w:val="16"/>
      </w:rPr>
      <w:t>Protocol for Radiography</w:t>
    </w:r>
    <w:r w:rsidR="00724A22">
      <w:rPr>
        <w:sz w:val="16"/>
      </w:rPr>
      <w:tab/>
    </w:r>
    <w:r w:rsidR="00724A22">
      <w:rPr>
        <w:sz w:val="16"/>
      </w:rPr>
      <w:tab/>
      <w:t xml:space="preserve">  </w:t>
    </w:r>
    <w:r w:rsidR="00724A22">
      <w:rPr>
        <w:sz w:val="16"/>
      </w:rPr>
      <w:tab/>
      <w:t xml:space="preserve">E-mail:  </w:t>
    </w:r>
    <w:hyperlink r:id="rId1" w:history="1">
      <w:r w:rsidR="00724A22" w:rsidRPr="00FA734E">
        <w:rPr>
          <w:rStyle w:val="Hyperlink"/>
          <w:sz w:val="16"/>
        </w:rPr>
        <w:t>advice@irs-limited.com</w:t>
      </w:r>
    </w:hyperlink>
  </w:p>
  <w:tbl>
    <w:tblPr>
      <w:tblW w:w="0" w:type="auto"/>
      <w:tblLayout w:type="fixed"/>
      <w:tblCellMar>
        <w:left w:w="107" w:type="dxa"/>
        <w:right w:w="107" w:type="dxa"/>
      </w:tblCellMar>
      <w:tblLook w:val="0000"/>
    </w:tblPr>
    <w:tblGrid>
      <w:gridCol w:w="2942"/>
      <w:gridCol w:w="3817"/>
      <w:gridCol w:w="3164"/>
    </w:tblGrid>
    <w:tr w:rsidR="00724A22" w:rsidRPr="005D7560" w:rsidTr="00B71B1E">
      <w:tblPrEx>
        <w:tblCellMar>
          <w:top w:w="0" w:type="dxa"/>
          <w:bottom w:w="0" w:type="dxa"/>
        </w:tblCellMar>
      </w:tblPrEx>
      <w:tc>
        <w:tcPr>
          <w:tcW w:w="2942" w:type="dxa"/>
        </w:tcPr>
        <w:p w:rsidR="00724A22" w:rsidRPr="005D7560" w:rsidRDefault="00724A22" w:rsidP="00B71B1E">
          <w:pPr>
            <w:pStyle w:val="Footer"/>
            <w:rPr>
              <w:sz w:val="16"/>
            </w:rPr>
          </w:pPr>
          <w:r w:rsidRPr="005D7560">
            <w:rPr>
              <w:sz w:val="16"/>
            </w:rPr>
            <w:t>Authorised by:</w:t>
          </w:r>
          <w:r w:rsidR="00093626">
            <w:rPr>
              <w:sz w:val="16"/>
            </w:rPr>
            <w:t xml:space="preserve"> IRS Limited</w:t>
          </w:r>
        </w:p>
      </w:tc>
      <w:tc>
        <w:tcPr>
          <w:tcW w:w="3817" w:type="dxa"/>
        </w:tcPr>
        <w:p w:rsidR="00724A22" w:rsidRPr="005D7560" w:rsidRDefault="00724A22" w:rsidP="00B71B1E">
          <w:pPr>
            <w:pStyle w:val="Footer"/>
            <w:jc w:val="center"/>
            <w:rPr>
              <w:sz w:val="16"/>
            </w:rPr>
          </w:pPr>
          <w:r w:rsidRPr="005D7560">
            <w:rPr>
              <w:sz w:val="16"/>
            </w:rPr>
            <w:t xml:space="preserve">Page: </w:t>
          </w:r>
          <w:r w:rsidRPr="005D7560">
            <w:rPr>
              <w:sz w:val="16"/>
            </w:rPr>
            <w:fldChar w:fldCharType="begin"/>
          </w:r>
          <w:r w:rsidRPr="005D7560">
            <w:rPr>
              <w:sz w:val="16"/>
            </w:rPr>
            <w:instrText xml:space="preserve">page  \* Mergeformat </w:instrText>
          </w:r>
          <w:r w:rsidRPr="005D7560">
            <w:rPr>
              <w:sz w:val="16"/>
            </w:rPr>
            <w:fldChar w:fldCharType="separate"/>
          </w:r>
          <w:r w:rsidR="000026B3">
            <w:rPr>
              <w:noProof/>
              <w:sz w:val="16"/>
            </w:rPr>
            <w:t>2</w:t>
          </w:r>
          <w:r w:rsidRPr="005D7560">
            <w:rPr>
              <w:sz w:val="16"/>
            </w:rPr>
            <w:fldChar w:fldCharType="end"/>
          </w:r>
          <w:r w:rsidRPr="005D7560">
            <w:rPr>
              <w:sz w:val="16"/>
            </w:rPr>
            <w:t xml:space="preserve"> of </w:t>
          </w:r>
          <w:fldSimple w:instr="numpages  \* Mergeformat ">
            <w:r w:rsidR="000026B3">
              <w:rPr>
                <w:noProof/>
                <w:sz w:val="16"/>
              </w:rPr>
              <w:t>2</w:t>
            </w:r>
          </w:fldSimple>
        </w:p>
      </w:tc>
      <w:tc>
        <w:tcPr>
          <w:tcW w:w="3164" w:type="dxa"/>
        </w:tcPr>
        <w:p w:rsidR="00724A22" w:rsidRPr="005D7560" w:rsidRDefault="00724A22" w:rsidP="00B71B1E">
          <w:pPr>
            <w:pStyle w:val="Footer"/>
            <w:jc w:val="center"/>
            <w:rPr>
              <w:sz w:val="16"/>
            </w:rPr>
          </w:pPr>
        </w:p>
      </w:tc>
    </w:tr>
  </w:tbl>
  <w:p w:rsidR="00724A22" w:rsidRDefault="00724A22">
    <w:pPr>
      <w:pStyle w:val="Footer"/>
      <w:rPr>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04" w:rsidRDefault="004338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7A72" w:rsidRDefault="00987A72" w:rsidP="0051283F">
      <w:r>
        <w:separator/>
      </w:r>
    </w:p>
  </w:footnote>
  <w:footnote w:type="continuationSeparator" w:id="0">
    <w:p w:rsidR="00987A72" w:rsidRDefault="00987A72" w:rsidP="005128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04" w:rsidRDefault="004338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626" w:rsidRDefault="000026B3">
    <w:pPr>
      <w:pStyle w:val="Header"/>
    </w:pPr>
    <w:r>
      <w:rPr>
        <w:noProof/>
        <w:lang w:eastAsia="en-GB"/>
      </w:rPr>
      <w:drawing>
        <wp:anchor distT="0" distB="0" distL="114300" distR="114300" simplePos="0" relativeHeight="251657728" behindDoc="1" locked="0" layoutInCell="1" allowOverlap="1">
          <wp:simplePos x="0" y="0"/>
          <wp:positionH relativeFrom="column">
            <wp:posOffset>-540385</wp:posOffset>
          </wp:positionH>
          <wp:positionV relativeFrom="paragraph">
            <wp:posOffset>-359410</wp:posOffset>
          </wp:positionV>
          <wp:extent cx="2849245" cy="1286510"/>
          <wp:effectExtent l="19050" t="0" r="8255" b="0"/>
          <wp:wrapTight wrapText="bothSides">
            <wp:wrapPolygon edited="0">
              <wp:start x="-144" y="0"/>
              <wp:lineTo x="-144" y="21429"/>
              <wp:lineTo x="21663" y="21429"/>
              <wp:lineTo x="21663" y="0"/>
              <wp:lineTo x="-144" y="0"/>
            </wp:wrapPolygon>
          </wp:wrapTight>
          <wp:docPr id="5" name="Picture 5" descr="IRS Logo and Statement (New Wo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S Logo and Statement (New Word Layout)"/>
                  <pic:cNvPicPr>
                    <a:picLocks noChangeAspect="1" noChangeArrowheads="1"/>
                  </pic:cNvPicPr>
                </pic:nvPicPr>
                <pic:blipFill>
                  <a:blip r:embed="rId1"/>
                  <a:srcRect/>
                  <a:stretch>
                    <a:fillRect/>
                  </a:stretch>
                </pic:blipFill>
                <pic:spPr bwMode="auto">
                  <a:xfrm>
                    <a:off x="0" y="0"/>
                    <a:ext cx="2849245" cy="128651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804" w:rsidRDefault="0043380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hideSpellingErrors/>
  <w:hideGrammaticalErrors/>
  <w:attachedTemplate r:id="rId1"/>
  <w:defaultTabStop w:val="680"/>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footnote w:id="-1"/>
    <w:footnote w:id="0"/>
  </w:footnotePr>
  <w:endnotePr>
    <w:endnote w:id="-1"/>
    <w:endnote w:id="0"/>
  </w:endnotePr>
  <w:compat/>
  <w:rsids>
    <w:rsidRoot w:val="005F4971"/>
    <w:rsid w:val="000026B3"/>
    <w:rsid w:val="00093626"/>
    <w:rsid w:val="001540C4"/>
    <w:rsid w:val="001A0D18"/>
    <w:rsid w:val="00206780"/>
    <w:rsid w:val="00280D62"/>
    <w:rsid w:val="00330AFD"/>
    <w:rsid w:val="0040490C"/>
    <w:rsid w:val="00433804"/>
    <w:rsid w:val="0044519D"/>
    <w:rsid w:val="004462CC"/>
    <w:rsid w:val="0051283F"/>
    <w:rsid w:val="00582489"/>
    <w:rsid w:val="005F4971"/>
    <w:rsid w:val="00724A22"/>
    <w:rsid w:val="00942244"/>
    <w:rsid w:val="00987A72"/>
    <w:rsid w:val="009E55E4"/>
    <w:rsid w:val="00A311A5"/>
    <w:rsid w:val="00A370E4"/>
    <w:rsid w:val="00A80F56"/>
    <w:rsid w:val="00AD3D6D"/>
    <w:rsid w:val="00B47ABE"/>
    <w:rsid w:val="00B71B1E"/>
    <w:rsid w:val="00B937B5"/>
    <w:rsid w:val="00BA2352"/>
    <w:rsid w:val="00C02390"/>
    <w:rsid w:val="00C22482"/>
    <w:rsid w:val="00C453F1"/>
    <w:rsid w:val="00D52A43"/>
    <w:rsid w:val="00DD14AF"/>
    <w:rsid w:val="00E55EFB"/>
    <w:rsid w:val="00E66EE4"/>
    <w:rsid w:val="00EA175A"/>
    <w:rsid w:val="00EB76E1"/>
    <w:rsid w:val="00EE0787"/>
    <w:rsid w:val="00FB5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spacing w:before="240"/>
      <w:jc w:val="both"/>
      <w:outlineLvl w:val="0"/>
    </w:pPr>
    <w:rPr>
      <w:b/>
    </w:rPr>
  </w:style>
  <w:style w:type="paragraph" w:styleId="Heading2">
    <w:name w:val="heading 2"/>
    <w:basedOn w:val="Normal"/>
    <w:next w:val="Normal"/>
    <w:qFormat/>
    <w:pPr>
      <w:keepNext/>
      <w:spacing w:before="120"/>
      <w:outlineLvl w:val="1"/>
    </w:pPr>
    <w:rPr>
      <w:i/>
    </w:rPr>
  </w:style>
  <w:style w:type="paragraph" w:styleId="Heading3">
    <w:name w:val="heading 3"/>
    <w:basedOn w:val="Normal"/>
    <w:next w:val="NormalIndent"/>
    <w:qFormat/>
    <w:pPr>
      <w:keepNext/>
      <w:spacing w:before="120"/>
      <w:ind w:left="284"/>
      <w:outlineLvl w:val="2"/>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284"/>
    </w:pPr>
  </w:style>
  <w:style w:type="paragraph" w:styleId="Footer">
    <w:name w:val="footer"/>
    <w:basedOn w:val="Normal"/>
    <w:uiPriority w:val="99"/>
    <w:semiHidden/>
    <w:pPr>
      <w:tabs>
        <w:tab w:val="center" w:pos="5103"/>
        <w:tab w:val="right" w:pos="10206"/>
      </w:tabs>
    </w:pPr>
  </w:style>
  <w:style w:type="paragraph" w:styleId="Header">
    <w:name w:val="header"/>
    <w:basedOn w:val="Normal"/>
    <w:link w:val="HeaderChar"/>
    <w:uiPriority w:val="99"/>
    <w:pPr>
      <w:tabs>
        <w:tab w:val="center" w:pos="5103"/>
        <w:tab w:val="right" w:pos="10206"/>
      </w:tabs>
    </w:pPr>
  </w:style>
  <w:style w:type="table" w:styleId="TableGrid">
    <w:name w:val="Table Grid"/>
    <w:basedOn w:val="TableNormal"/>
    <w:uiPriority w:val="59"/>
    <w:rsid w:val="00C023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453F1"/>
    <w:rPr>
      <w:sz w:val="24"/>
      <w:lang w:eastAsia="en-US"/>
    </w:rPr>
  </w:style>
  <w:style w:type="character" w:customStyle="1" w:styleId="HeaderChar">
    <w:name w:val="Header Char"/>
    <w:basedOn w:val="DefaultParagraphFont"/>
    <w:link w:val="Header"/>
    <w:uiPriority w:val="99"/>
    <w:rsid w:val="00B71B1E"/>
    <w:rPr>
      <w:sz w:val="24"/>
      <w:lang w:eastAsia="en-US"/>
    </w:rPr>
  </w:style>
  <w:style w:type="paragraph" w:styleId="BalloonText">
    <w:name w:val="Balloon Text"/>
    <w:basedOn w:val="Normal"/>
    <w:link w:val="BalloonTextChar"/>
    <w:uiPriority w:val="99"/>
    <w:semiHidden/>
    <w:unhideWhenUsed/>
    <w:rsid w:val="00B71B1E"/>
    <w:rPr>
      <w:rFonts w:ascii="Tahoma" w:hAnsi="Tahoma" w:cs="Tahoma"/>
      <w:sz w:val="16"/>
      <w:szCs w:val="16"/>
    </w:rPr>
  </w:style>
  <w:style w:type="character" w:customStyle="1" w:styleId="BalloonTextChar">
    <w:name w:val="Balloon Text Char"/>
    <w:basedOn w:val="DefaultParagraphFont"/>
    <w:link w:val="BalloonText"/>
    <w:uiPriority w:val="99"/>
    <w:semiHidden/>
    <w:rsid w:val="00B71B1E"/>
    <w:rPr>
      <w:rFonts w:ascii="Tahoma" w:hAnsi="Tahoma" w:cs="Tahoma"/>
      <w:sz w:val="16"/>
      <w:szCs w:val="16"/>
      <w:lang w:eastAsia="en-US"/>
    </w:rPr>
  </w:style>
  <w:style w:type="character" w:styleId="Hyperlink">
    <w:name w:val="Hyperlink"/>
    <w:basedOn w:val="DefaultParagraphFont"/>
    <w:uiPriority w:val="99"/>
    <w:unhideWhenUsed/>
    <w:rsid w:val="00B71B1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advice@irs-limite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enesis\users\PHYSICS\Word95\TMPLATES\Diagnostic\AWTEMP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AWTEMP12</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AW template / 12 point</vt:lpstr>
    </vt:vector>
  </TitlesOfParts>
  <Company>North Western Medical Physics</Company>
  <LinksUpToDate>false</LinksUpToDate>
  <CharactersWithSpaces>2316</CharactersWithSpaces>
  <SharedDoc>false</SharedDoc>
  <HLinks>
    <vt:vector size="6" baseType="variant">
      <vt:variant>
        <vt:i4>2949194</vt:i4>
      </vt:variant>
      <vt:variant>
        <vt:i4>0</vt:i4>
      </vt:variant>
      <vt:variant>
        <vt:i4>0</vt:i4>
      </vt:variant>
      <vt:variant>
        <vt:i4>5</vt:i4>
      </vt:variant>
      <vt:variant>
        <vt:lpwstr>mailto:advice@irs-limited.com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 template / 12 point</dc:title>
  <dc:creator>K9 woz here!!</dc:creator>
  <cp:lastModifiedBy>Joshua Evans</cp:lastModifiedBy>
  <cp:revision>2</cp:revision>
  <cp:lastPrinted>2014-05-14T11:22:00Z</cp:lastPrinted>
  <dcterms:created xsi:type="dcterms:W3CDTF">2015-05-27T10:16:00Z</dcterms:created>
  <dcterms:modified xsi:type="dcterms:W3CDTF">2015-05-27T10:16:00Z</dcterms:modified>
</cp:coreProperties>
</file>