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Georgia" w:cs="Georgia" w:eastAsia="Georgia" w:hAnsi="Georgia"/>
          <w:b/>
          <w:bCs/>
          <w:color w:val="1F3864"/>
          <w:sz w:val="52"/>
          <w:szCs w:val="52"/>
        </w:rPr>
        <w:t xml:space="preserve">CAHIER DES CHARGES</w:t>
      </w:r>
    </w:p>
    <w:p>
      <w:pPr>
        <w:pBdr>
          <w:bottom w:val="single" w:color="4F46E5" w:sz="8" w:space="8"/>
        </w:pBdr>
        <w:spacing w:after="500"/>
        <w:jc w:val="center"/>
      </w:pPr>
      <w:r>
        <w:rPr>
          <w:rFonts w:ascii="Georgia" w:cs="Georgia" w:eastAsia="Georgia" w:hAnsi="Georgia"/>
          <w:i/>
          <w:iCs/>
          <w:color w:val="4F46E5"/>
          <w:sz w:val="28"/>
          <w:szCs w:val="28"/>
        </w:rPr>
        <w:t xml:space="preserve">« Future Profile » — Test d'orientation interactif &amp; intégration HubSpot</w:t>
      </w:r>
    </w:p>
    <w:p>
      <w:pPr>
        <w:spacing w:after="200"/>
        <w:jc w:val="center"/>
      </w:pPr>
      <w:r>
        <w:rPr>
          <w:rFonts w:ascii="Calibri" w:cs="Calibri" w:eastAsia="Calibri" w:hAnsi="Calibri"/>
          <w:color w:val="595959"/>
          <w:sz w:val="26"/>
          <w:szCs w:val="26"/>
        </w:rPr>
        <w:t xml:space="preserve">ITIC Paris — Direction de la Communication et du Marketing</w:t>
      </w:r>
    </w:p>
    <w:p>
      <w:pPr>
        <w:spacing w:after="2200"/>
      </w:pPr>
    </w:p>
    <w:p>
      <w:pPr>
        <w:spacing w:after="90"/>
        <w:jc w:val="center"/>
      </w:pPr>
      <w:r>
        <w:rPr>
          <w:rFonts w:ascii="Calibri" w:cs="Calibri" w:eastAsia="Calibri" w:hAnsi="Calibri"/>
          <w:b/>
          <w:bCs/>
          <w:color w:val="1F3864"/>
          <w:sz w:val="22"/>
          <w:szCs w:val="22"/>
        </w:rPr>
        <w:t xml:space="preserve">Commanditaire : </w:t>
      </w:r>
      <w:r>
        <w:rPr>
          <w:rFonts w:ascii="Calibri" w:cs="Calibri" w:eastAsia="Calibri" w:hAnsi="Calibri"/>
          <w:color w:val="222222"/>
          <w:sz w:val="22"/>
          <w:szCs w:val="22"/>
        </w:rPr>
        <w:t xml:space="preserve">Emmanuel LECUGY — Directeur de la communication et du marketing, ITIC Paris</w:t>
      </w:r>
    </w:p>
    <w:p>
      <w:pPr>
        <w:spacing w:after="90"/>
        <w:jc w:val="center"/>
      </w:pPr>
      <w:r>
        <w:rPr>
          <w:rFonts w:ascii="Calibri" w:cs="Calibri" w:eastAsia="Calibri" w:hAnsi="Calibri"/>
          <w:b/>
          <w:bCs/>
          <w:color w:val="1F3864"/>
          <w:sz w:val="22"/>
          <w:szCs w:val="22"/>
        </w:rPr>
        <w:t xml:space="preserve">Rédacteur : </w:t>
      </w:r>
      <w:r>
        <w:rPr>
          <w:rFonts w:ascii="Calibri" w:cs="Calibri" w:eastAsia="Calibri" w:hAnsi="Calibri"/>
          <w:color w:val="222222"/>
          <w:sz w:val="22"/>
          <w:szCs w:val="22"/>
        </w:rPr>
        <w:t xml:space="preserve">Duorli Réjouis Nebel MASSENGO — Développeur Fullstack, alternant ITIC Paris</w:t>
      </w:r>
    </w:p>
    <w:p>
      <w:pPr>
        <w:spacing w:after="90"/>
        <w:jc w:val="center"/>
      </w:pPr>
      <w:r>
        <w:rPr>
          <w:rFonts w:ascii="Calibri" w:cs="Calibri" w:eastAsia="Calibri" w:hAnsi="Calibri"/>
          <w:b/>
          <w:bCs/>
          <w:color w:val="1F3864"/>
          <w:sz w:val="22"/>
          <w:szCs w:val="22"/>
        </w:rPr>
        <w:t xml:space="preserve">Version : </w:t>
      </w:r>
      <w:r>
        <w:rPr>
          <w:rFonts w:ascii="Calibri" w:cs="Calibri" w:eastAsia="Calibri" w:hAnsi="Calibri"/>
          <w:color w:val="222222"/>
          <w:sz w:val="22"/>
          <w:szCs w:val="22"/>
        </w:rPr>
        <w:t xml:space="preserve">1.3 — Intégration du tableau de correspondances et de la maquette v2</w:t>
      </w:r>
    </w:p>
    <w:p>
      <w:pPr>
        <w:spacing w:after="90"/>
        <w:jc w:val="center"/>
      </w:pPr>
      <w:r>
        <w:rPr>
          <w:rFonts w:ascii="Calibri" w:cs="Calibri" w:eastAsia="Calibri" w:hAnsi="Calibri"/>
          <w:b/>
          <w:bCs/>
          <w:color w:val="1F3864"/>
          <w:sz w:val="22"/>
          <w:szCs w:val="22"/>
        </w:rPr>
        <w:t xml:space="preserve">Date : </w:t>
      </w:r>
      <w:r>
        <w:rPr>
          <w:rFonts w:ascii="Calibri" w:cs="Calibri" w:eastAsia="Calibri" w:hAnsi="Calibri"/>
          <w:color w:val="222222"/>
          <w:sz w:val="22"/>
          <w:szCs w:val="22"/>
        </w:rPr>
        <w:t xml:space="preserve">15 juillet 2026</w:t>
      </w:r>
    </w:p>
    <w:p>
      <w:pPr>
        <w:spacing w:after="90"/>
        <w:jc w:val="center"/>
      </w:pPr>
      <w:r>
        <w:rPr>
          <w:rFonts w:ascii="Calibri" w:cs="Calibri" w:eastAsia="Calibri" w:hAnsi="Calibri"/>
          <w:b/>
          <w:bCs/>
          <w:color w:val="1F3864"/>
          <w:sz w:val="22"/>
          <w:szCs w:val="22"/>
        </w:rPr>
        <w:t xml:space="preserve">Statut : </w:t>
      </w:r>
      <w:r>
        <w:rPr>
          <w:rFonts w:ascii="Calibri" w:cs="Calibri" w:eastAsia="Calibri" w:hAnsi="Calibri"/>
          <w:color w:val="222222"/>
          <w:sz w:val="22"/>
          <w:szCs w:val="22"/>
        </w:rPr>
        <w:t xml:space="preserve">Soumis à validation finale du commanditaire</w:t>
      </w:r>
    </w:p>
    <w:p>
      <w:r>
        <w:br w:type="page"/>
      </w:r>
    </w:p>
    <w:p>
      <w:pPr>
        <w:pStyle w:val="Heading1"/>
        <w:spacing w:after="200" w:before="360"/>
      </w:pPr>
      <w:r>
        <w:rPr>
          <w:rFonts w:ascii="Georgia" w:cs="Georgia" w:eastAsia="Georgia" w:hAnsi="Georgia"/>
          <w:b/>
          <w:bCs/>
          <w:color w:val="1F3864"/>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1F3864"/>
          <w:sz w:val="30"/>
          <w:szCs w:val="30"/>
        </w:rPr>
        <w:t xml:space="preserve">Historique des révisions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rPr>
          <w:tblHeader/>
        </w:trPr>
        <w:tc>
          <w:tcPr>
            <w:tcW w:type="dxa" w:w="13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Version</w:t>
            </w:r>
          </w:p>
        </w:tc>
        <w:tc>
          <w:tcPr>
            <w:tcW w:type="dxa" w:w="19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Date</w:t>
            </w:r>
          </w:p>
        </w:tc>
        <w:tc>
          <w:tcPr>
            <w:tcW w:type="dxa" w:w="616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Objet</w:t>
            </w:r>
          </w:p>
        </w:tc>
      </w:tr>
      <w:tr>
        <w:tc>
          <w:tcPr>
            <w:tcW w:type="dxa" w:w="13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1.0</w:t>
            </w:r>
          </w:p>
        </w:tc>
        <w:tc>
          <w:tcPr>
            <w:tcW w:type="dxa" w:w="19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7 juillet 2026</w:t>
            </w:r>
          </w:p>
        </w:tc>
        <w:tc>
          <w:tcPr>
            <w:tcW w:type="dxa" w:w="61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Version initiale soumise à validation du commanditaire</w:t>
            </w:r>
          </w:p>
        </w:tc>
      </w:tr>
      <w:tr>
        <w:tc>
          <w:tcPr>
            <w:tcW w:type="dxa" w:w="13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1.1</w:t>
            </w:r>
          </w:p>
        </w:tc>
        <w:tc>
          <w:tcPr>
            <w:tcW w:type="dxa" w:w="19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13 juillet 2026</w:t>
            </w:r>
          </w:p>
        </w:tc>
        <w:tc>
          <w:tcPr>
            <w:tcW w:type="dxa" w:w="61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Intégration des arbitrages du commanditaire (annotations du 8 juillet 2026) : champs du formulaire, périmètre des données HubSpot, répartition de la création des propriétés, mesure du tunnel de conversion, précisions sur l'hébergement</w:t>
            </w:r>
          </w:p>
        </w:tc>
      </w:tr>
      <w:tr>
        <w:tc>
          <w:tcPr>
            <w:tcW w:type="dxa" w:w="13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1.2</w:t>
            </w:r>
          </w:p>
        </w:tc>
        <w:tc>
          <w:tcPr>
            <w:tcW w:type="dxa" w:w="19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15 juillet 2026</w:t>
            </w:r>
          </w:p>
        </w:tc>
        <w:tc>
          <w:tcPr>
            <w:tcW w:type="dxa" w:w="61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Consentement : passage à une case unique, facultative, dédiée à la prospection ; le traitement du test repose sur l'exécution de la demande du participant (mention d'information) — arbitrage du commanditaire confirmé de vive voix</w:t>
            </w:r>
          </w:p>
        </w:tc>
      </w:tr>
      <w:tr>
        <w:tc>
          <w:tcPr>
            <w:tcW w:type="dxa" w:w="13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1.3</w:t>
            </w:r>
          </w:p>
        </w:tc>
        <w:tc>
          <w:tcPr>
            <w:tcW w:type="dxa" w:w="19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15 juillet 2026</w:t>
            </w:r>
          </w:p>
        </w:tc>
        <w:tc>
          <w:tcPr>
            <w:tcW w:type="dxa" w:w="61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Intégration des retours du commanditaire : nouveau catalogue de 23 formations (tableau de correspondances, PGE et e-learning exclus), profils individuels renommés (maquette v2), écran de choix du niveau (BTS / Bachelor / Mastère), règle de la première formation pour les alternatives, intitulé SIO officiel, abandon de la propriété Dimension Dominante, application de la charte graphique ITIC</w:t>
            </w:r>
          </w:p>
        </w:tc>
      </w:tr>
    </w:tbl>
    <w:p>
      <w:pPr>
        <w:spacing w:after="200"/>
      </w:pPr>
    </w:p>
    <w:p>
      <w:pPr>
        <w:pStyle w:val="Heading1"/>
        <w:spacing w:after="200" w:before="360"/>
      </w:pPr>
      <w:r>
        <w:rPr>
          <w:rFonts w:ascii="Georgia" w:cs="Georgia" w:eastAsia="Georgia" w:hAnsi="Georgia"/>
          <w:b/>
          <w:bCs/>
          <w:color w:val="1F3864"/>
          <w:sz w:val="30"/>
          <w:szCs w:val="30"/>
        </w:rPr>
        <w:t xml:space="preserve">1. Contexte et objectifs du projet</w:t>
      </w:r>
    </w:p>
    <w:p>
      <w:pPr>
        <w:pStyle w:val="Heading2"/>
        <w:spacing w:after="160" w:before="280"/>
      </w:pPr>
      <w:r>
        <w:rPr>
          <w:rFonts w:ascii="Georgia" w:cs="Georgia" w:eastAsia="Georgia" w:hAnsi="Georgia"/>
          <w:b/>
          <w:bCs/>
          <w:color w:val="4F46E5"/>
          <w:sz w:val="25"/>
          <w:szCs w:val="25"/>
        </w:rPr>
        <w:t xml:space="preserve">1.1 Contexte</w:t>
      </w:r>
    </w:p>
    <w:p>
      <w:pPr>
        <w:spacing w:after="160" w:line="300"/>
        <w:jc w:val="both"/>
      </w:pPr>
      <w:r>
        <w:rPr>
          <w:rFonts w:ascii="Calibri" w:cs="Calibri" w:eastAsia="Calibri" w:hAnsi="Calibri"/>
          <w:color w:val="222222"/>
          <w:sz w:val="22"/>
          <w:szCs w:val="22"/>
        </w:rPr>
        <w:t xml:space="preserve">ITIC Paris souhaite renforcer son dispositif de recrutement d'étudiants en proposant aux candidats potentiels une expérience d'orientation en ligne, ludique et personnalisée. La Direction de la communication et du marketing a réalisé, à l'aide d'un outil d'IA générative, une ébauche fonctionnelle (prototype HTML) baptisée « Future Profile », qui matérialise l'expérience souhaitée : un test de personnalité en dix questions débouchant sur un profil type et une recommandation de formation ITIC Paris.</w:t>
      </w:r>
    </w:p>
    <w:p>
      <w:pPr>
        <w:spacing w:after="160" w:line="300"/>
        <w:jc w:val="both"/>
      </w:pPr>
      <w:r>
        <w:rPr>
          <w:rFonts w:ascii="Calibri" w:cs="Calibri" w:eastAsia="Calibri" w:hAnsi="Calibri"/>
          <w:color w:val="222222"/>
          <w:sz w:val="22"/>
          <w:szCs w:val="22"/>
        </w:rPr>
        <w:t xml:space="preserve">Ce prototype constitue la référence visuelle et fonctionnelle du projet. Il ne comporte toutefois aucune couche serveur : les données saisies par les participants ne sont ni enregistrées ni transmises. L'objet du présent projet est de transformer cette ébauche en un outil de production, accessible publiquement, et connecté au compte HubSpot d'ITIC Paris pour la collecte des contacts (leads).</w:t>
      </w:r>
    </w:p>
    <w:p>
      <w:pPr>
        <w:pStyle w:val="Heading2"/>
        <w:spacing w:after="160" w:before="280"/>
      </w:pPr>
      <w:r>
        <w:rPr>
          <w:rFonts w:ascii="Georgia" w:cs="Georgia" w:eastAsia="Georgia" w:hAnsi="Georgia"/>
          <w:b/>
          <w:bCs/>
          <w:color w:val="4F46E5"/>
          <w:sz w:val="25"/>
          <w:szCs w:val="25"/>
        </w:rPr>
        <w:t xml:space="preserve">1.2 Objectifs</w:t>
      </w:r>
    </w:p>
    <w:p>
      <w:pPr>
        <w:pStyle w:val="ListParagraph"/>
        <w:numPr>
          <w:ilvl w:val="0"/>
          <w:numId w:val="2"/>
        </w:numPr>
        <w:spacing w:after="100" w:line="290"/>
      </w:pPr>
      <w:r>
        <w:rPr>
          <w:rFonts w:ascii="Calibri" w:cs="Calibri" w:eastAsia="Calibri" w:hAnsi="Calibri"/>
          <w:b/>
          <w:bCs/>
          <w:color w:val="222222"/>
          <w:sz w:val="22"/>
          <w:szCs w:val="22"/>
        </w:rPr>
        <w:t xml:space="preserve">Objectif marketing : </w:t>
      </w:r>
      <w:r>
        <w:rPr>
          <w:rFonts w:ascii="Calibri" w:cs="Calibri" w:eastAsia="Calibri" w:hAnsi="Calibri"/>
          <w:color w:val="222222"/>
          <w:sz w:val="22"/>
          <w:szCs w:val="22"/>
        </w:rPr>
        <w:t xml:space="preserve">générer des contacts qualifiés (prospects étudiants) en offrant une contrepartie de valeur — la découverte de leur profil et une orientation vers une formation adaptée.</w:t>
      </w:r>
    </w:p>
    <w:p>
      <w:pPr>
        <w:pStyle w:val="ListParagraph"/>
        <w:numPr>
          <w:ilvl w:val="0"/>
          <w:numId w:val="2"/>
        </w:numPr>
        <w:spacing w:after="100" w:line="290"/>
      </w:pPr>
      <w:r>
        <w:rPr>
          <w:rFonts w:ascii="Calibri" w:cs="Calibri" w:eastAsia="Calibri" w:hAnsi="Calibri"/>
          <w:b/>
          <w:bCs/>
          <w:color w:val="222222"/>
          <w:sz w:val="22"/>
          <w:szCs w:val="22"/>
        </w:rPr>
        <w:t xml:space="preserve">Objectif d'orientation : </w:t>
      </w:r>
      <w:r>
        <w:rPr>
          <w:rFonts w:ascii="Calibri" w:cs="Calibri" w:eastAsia="Calibri" w:hAnsi="Calibri"/>
          <w:color w:val="222222"/>
          <w:sz w:val="22"/>
          <w:szCs w:val="22"/>
        </w:rPr>
        <w:t xml:space="preserve">aider les futurs étudiants à identifier la formation ITIC Paris la plus cohérente avec leur personnalité et leurs aspirations.</w:t>
      </w:r>
    </w:p>
    <w:p>
      <w:pPr>
        <w:pStyle w:val="ListParagraph"/>
        <w:numPr>
          <w:ilvl w:val="0"/>
          <w:numId w:val="2"/>
        </w:numPr>
        <w:spacing w:after="100" w:line="290"/>
      </w:pPr>
      <w:r>
        <w:rPr>
          <w:rFonts w:ascii="Calibri" w:cs="Calibri" w:eastAsia="Calibri" w:hAnsi="Calibri"/>
          <w:b/>
          <w:bCs/>
          <w:color w:val="222222"/>
          <w:sz w:val="22"/>
          <w:szCs w:val="22"/>
        </w:rPr>
        <w:t xml:space="preserve">Objectif opérationnel : </w:t>
      </w:r>
      <w:r>
        <w:rPr>
          <w:rFonts w:ascii="Calibri" w:cs="Calibri" w:eastAsia="Calibri" w:hAnsi="Calibri"/>
          <w:color w:val="222222"/>
          <w:sz w:val="22"/>
          <w:szCs w:val="22"/>
        </w:rPr>
        <w:t xml:space="preserve">alimenter automatiquement HubSpot avec les informations renseignées et les résultats du test, afin de permettre aux équipes d'admission et de marketing d'exploiter ces données (segmentation, relances, campagnes).</w:t>
      </w:r>
    </w:p>
    <w:p>
      <w:pPr>
        <w:pStyle w:val="Heading2"/>
        <w:spacing w:after="160" w:before="280"/>
      </w:pPr>
      <w:r>
        <w:rPr>
          <w:rFonts w:ascii="Georgia" w:cs="Georgia" w:eastAsia="Georgia" w:hAnsi="Georgia"/>
          <w:b/>
          <w:bCs/>
          <w:color w:val="4F46E5"/>
          <w:sz w:val="25"/>
          <w:szCs w:val="25"/>
        </w:rPr>
        <w:t xml:space="preserve">1.3 Parties prenantes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rPr>
          <w:tblHeader/>
        </w:trPr>
        <w:tc>
          <w:tcPr>
            <w:tcW w:type="dxa" w:w="26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Rôle</w:t>
            </w:r>
          </w:p>
        </w:tc>
        <w:tc>
          <w:tcPr>
            <w:tcW w:type="dxa" w:w="31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Intervenant</w:t>
            </w:r>
          </w:p>
        </w:tc>
        <w:tc>
          <w:tcPr>
            <w:tcW w:type="dxa" w:w="366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Responsabilité</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Commanditaire / Product Owner</w:t>
            </w:r>
          </w:p>
        </w:tc>
        <w:tc>
          <w:tcPr>
            <w:tcW w:type="dxa" w:w="31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Emmanuel LECUGY (ITIC Paris)</w:t>
            </w:r>
          </w:p>
        </w:tc>
        <w:tc>
          <w:tcPr>
            <w:tcW w:type="dxa" w:w="36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Expression du besoin, validation du contenu éditorial, du parcours et des livrables</w:t>
            </w:r>
          </w:p>
        </w:tc>
      </w:tr>
      <w:tr>
        <w:tc>
          <w:tcPr>
            <w:tcW w:type="dxa" w:w="26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Réalisation technique</w:t>
            </w:r>
          </w:p>
        </w:tc>
        <w:tc>
          <w:tcPr>
            <w:tcW w:type="dxa" w:w="31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Nebel MASSENGO (alternant, ITIC Paris)</w:t>
            </w:r>
          </w:p>
        </w:tc>
        <w:tc>
          <w:tcPr>
            <w:tcW w:type="dxa" w:w="36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Conception, développement, intégration HubSpot, mise en production</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Pôle Communication ITIC Paris</w:t>
            </w:r>
          </w:p>
        </w:tc>
        <w:tc>
          <w:tcPr>
            <w:tcW w:type="dxa" w:w="31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Équipe d'Emmanuel Lecugy</w:t>
            </w:r>
          </w:p>
        </w:tc>
        <w:tc>
          <w:tcPr>
            <w:tcW w:type="dxa" w:w="36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Exploitation des leads dans HubSpot, création des propriétés personnalisées, workflows de relance</w:t>
            </w:r>
          </w:p>
        </w:tc>
      </w:tr>
      <w:tr>
        <w:tc>
          <w:tcPr>
            <w:tcW w:type="dxa" w:w="26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Référent RGPD / DPO</w:t>
            </w:r>
          </w:p>
        </w:tc>
        <w:tc>
          <w:tcPr>
            <w:tcW w:type="dxa" w:w="31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À désigner</w:t>
            </w:r>
          </w:p>
        </w:tc>
        <w:tc>
          <w:tcPr>
            <w:tcW w:type="dxa" w:w="36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Validation de la conformité du traitement de données personnelles</w:t>
            </w:r>
          </w:p>
        </w:tc>
      </w:tr>
    </w:tbl>
    <w:p>
      <w:r>
        <w:br w:type="page"/>
      </w:r>
    </w:p>
    <w:p>
      <w:pPr>
        <w:pStyle w:val="Heading1"/>
        <w:spacing w:after="200" w:before="360"/>
      </w:pPr>
      <w:r>
        <w:rPr>
          <w:rFonts w:ascii="Georgia" w:cs="Georgia" w:eastAsia="Georgia" w:hAnsi="Georgia"/>
          <w:b/>
          <w:bCs/>
          <w:color w:val="1F3864"/>
          <w:sz w:val="30"/>
          <w:szCs w:val="30"/>
        </w:rPr>
        <w:t xml:space="preserve">2. Description de l'existant (prototype)</w:t>
      </w:r>
    </w:p>
    <w:p>
      <w:pPr>
        <w:spacing w:after="160" w:line="300"/>
        <w:jc w:val="both"/>
      </w:pPr>
      <w:r>
        <w:rPr>
          <w:rFonts w:ascii="Calibri" w:cs="Calibri" w:eastAsia="Calibri" w:hAnsi="Calibri"/>
          <w:color w:val="222222"/>
          <w:sz w:val="22"/>
          <w:szCs w:val="22"/>
        </w:rPr>
        <w:t xml:space="preserve">La référence du projet est désormais double : la maquette v2 (« future-profile-itic-v2.html », transmise le 15 juillet 2026), page web autonome (HTML/CSS/JavaScript, sans framework ni serveur) qui définit l'expérience et les contenus éditoriaux, et le tableau de correspondances « ITIC_Profils_Diplomes.xlsx » fourni par le Pôle Communication, qui définit l'orientation profil → formation pour chacun des trois niveaux d'études (BTS, Bachelor, Mastère).</w:t>
      </w:r>
    </w:p>
    <w:p>
      <w:pPr>
        <w:pStyle w:val="Heading2"/>
        <w:spacing w:after="160" w:before="280"/>
      </w:pPr>
      <w:r>
        <w:rPr>
          <w:rFonts w:ascii="Georgia" w:cs="Georgia" w:eastAsia="Georgia" w:hAnsi="Georgia"/>
          <w:b/>
          <w:bCs/>
          <w:color w:val="4F46E5"/>
          <w:sz w:val="25"/>
          <w:szCs w:val="25"/>
        </w:rPr>
        <w:t xml:space="preserve">2.1 Parcours utilisateur en six étapes</w:t>
      </w:r>
    </w:p>
    <w:p>
      <w:pPr>
        <w:pStyle w:val="ListParagraph"/>
        <w:numPr>
          <w:ilvl w:val="0"/>
          <w:numId w:val="2"/>
        </w:numPr>
        <w:spacing w:after="100" w:line="290"/>
      </w:pPr>
      <w:r>
        <w:rPr>
          <w:rFonts w:ascii="Calibri" w:cs="Calibri" w:eastAsia="Calibri" w:hAnsi="Calibri"/>
          <w:b/>
          <w:bCs/>
          <w:color w:val="222222"/>
          <w:sz w:val="22"/>
          <w:szCs w:val="22"/>
        </w:rPr>
        <w:t xml:space="preserve">Écran d'introduction : </w:t>
      </w:r>
      <w:r>
        <w:rPr>
          <w:rFonts w:ascii="Calibri" w:cs="Calibri" w:eastAsia="Calibri" w:hAnsi="Calibri"/>
          <w:color w:val="222222"/>
          <w:sz w:val="22"/>
          <w:szCs w:val="22"/>
        </w:rPr>
        <w:t xml:space="preserve">présentation du test et invitation à démarrer.</w:t>
      </w:r>
    </w:p>
    <w:p>
      <w:pPr>
        <w:pStyle w:val="ListParagraph"/>
        <w:numPr>
          <w:ilvl w:val="0"/>
          <w:numId w:val="2"/>
        </w:numPr>
        <w:spacing w:after="100" w:line="290"/>
      </w:pPr>
      <w:r>
        <w:rPr>
          <w:rFonts w:ascii="Calibri" w:cs="Calibri" w:eastAsia="Calibri" w:hAnsi="Calibri"/>
          <w:b/>
          <w:bCs/>
          <w:color w:val="222222"/>
          <w:sz w:val="22"/>
          <w:szCs w:val="22"/>
        </w:rPr>
        <w:t xml:space="preserve">Choix du niveau visé : </w:t>
      </w:r>
      <w:r>
        <w:rPr>
          <w:rFonts w:ascii="Calibri" w:cs="Calibri" w:eastAsia="Calibri" w:hAnsi="Calibri"/>
          <w:color w:val="222222"/>
          <w:sz w:val="22"/>
          <w:szCs w:val="22"/>
        </w:rPr>
        <w:t xml:space="preserve">« Tu veux faire… un BTS / un Bachelor / un Mastère » — ce choix détermine la formation recommandée à l'issue du test (arbitrage du commanditaire du 15 juillet 2026 ; absent de la maquette v2, à implémenter en production).</w:t>
      </w:r>
    </w:p>
    <w:p>
      <w:pPr>
        <w:pStyle w:val="ListParagraph"/>
        <w:numPr>
          <w:ilvl w:val="0"/>
          <w:numId w:val="2"/>
        </w:numPr>
        <w:spacing w:after="100" w:line="290"/>
      </w:pPr>
      <w:r>
        <w:rPr>
          <w:rFonts w:ascii="Calibri" w:cs="Calibri" w:eastAsia="Calibri" w:hAnsi="Calibri"/>
          <w:b/>
          <w:bCs/>
          <w:color w:val="222222"/>
          <w:sz w:val="22"/>
          <w:szCs w:val="22"/>
        </w:rPr>
        <w:t xml:space="preserve">Questionnaire : </w:t>
      </w:r>
      <w:r>
        <w:rPr>
          <w:rFonts w:ascii="Calibri" w:cs="Calibri" w:eastAsia="Calibri" w:hAnsi="Calibri"/>
          <w:color w:val="222222"/>
          <w:sz w:val="22"/>
          <w:szCs w:val="22"/>
        </w:rPr>
        <w:t xml:space="preserve">10 questions à choix (7 à réponse unique, 3 à réponses multiples limitées à deux choix), avec barre de progression et animations.</w:t>
      </w:r>
    </w:p>
    <w:p>
      <w:pPr>
        <w:pStyle w:val="ListParagraph"/>
        <w:numPr>
          <w:ilvl w:val="0"/>
          <w:numId w:val="2"/>
        </w:numPr>
        <w:spacing w:after="100" w:line="290"/>
      </w:pPr>
      <w:r>
        <w:rPr>
          <w:rFonts w:ascii="Calibri" w:cs="Calibri" w:eastAsia="Calibri" w:hAnsi="Calibri"/>
          <w:b/>
          <w:bCs/>
          <w:color w:val="222222"/>
          <w:sz w:val="22"/>
          <w:szCs w:val="22"/>
        </w:rPr>
        <w:t xml:space="preserve">Capture des coordonnées : </w:t>
      </w:r>
      <w:r>
        <w:rPr>
          <w:rFonts w:ascii="Calibri" w:cs="Calibri" w:eastAsia="Calibri" w:hAnsi="Calibri"/>
          <w:color w:val="222222"/>
          <w:sz w:val="22"/>
          <w:szCs w:val="22"/>
        </w:rPr>
        <w:t xml:space="preserve">formulaire demandant le prénom (facultatif) et l'adresse e-mail (obligatoire, avec validation de format), avant l'affichage des résultats.</w:t>
      </w:r>
    </w:p>
    <w:p>
      <w:pPr>
        <w:pStyle w:val="ListParagraph"/>
        <w:numPr>
          <w:ilvl w:val="0"/>
          <w:numId w:val="2"/>
        </w:numPr>
        <w:spacing w:after="100" w:line="290"/>
      </w:pPr>
      <w:r>
        <w:rPr>
          <w:rFonts w:ascii="Calibri" w:cs="Calibri" w:eastAsia="Calibri" w:hAnsi="Calibri"/>
          <w:b/>
          <w:bCs/>
          <w:color w:val="222222"/>
          <w:sz w:val="22"/>
          <w:szCs w:val="22"/>
        </w:rPr>
        <w:t xml:space="preserve">Écran d'analyse : </w:t>
      </w:r>
      <w:r>
        <w:rPr>
          <w:rFonts w:ascii="Calibri" w:cs="Calibri" w:eastAsia="Calibri" w:hAnsi="Calibri"/>
          <w:color w:val="222222"/>
          <w:sz w:val="22"/>
          <w:szCs w:val="22"/>
        </w:rPr>
        <w:t xml:space="preserve">animation de chargement d'environ 4 secondes simulant l'analyse des réponses.</w:t>
      </w:r>
    </w:p>
    <w:p>
      <w:pPr>
        <w:pStyle w:val="ListParagraph"/>
        <w:numPr>
          <w:ilvl w:val="0"/>
          <w:numId w:val="2"/>
        </w:numPr>
        <w:spacing w:after="100" w:line="290"/>
      </w:pPr>
      <w:r>
        <w:rPr>
          <w:rFonts w:ascii="Calibri" w:cs="Calibri" w:eastAsia="Calibri" w:hAnsi="Calibri"/>
          <w:b/>
          <w:bCs/>
          <w:color w:val="222222"/>
          <w:sz w:val="22"/>
          <w:szCs w:val="22"/>
        </w:rPr>
        <w:t xml:space="preserve">Résultats : </w:t>
      </w:r>
      <w:r>
        <w:rPr>
          <w:rFonts w:ascii="Calibri" w:cs="Calibri" w:eastAsia="Calibri" w:hAnsi="Calibri"/>
          <w:color w:val="222222"/>
          <w:sz w:val="22"/>
          <w:szCs w:val="22"/>
        </w:rPr>
        <w:t xml:space="preserve">profil détecté, points forts, radar des 10 dimensions, taux de compatibilité par filière, indice de rareté du profil et carte de la formation recommandée avec lien vers la fiche formation du site iticparis.com.</w:t>
      </w:r>
    </w:p>
    <w:p>
      <w:pPr>
        <w:pStyle w:val="Heading2"/>
        <w:spacing w:after="160" w:before="280"/>
      </w:pPr>
      <w:r>
        <w:rPr>
          <w:rFonts w:ascii="Georgia" w:cs="Georgia" w:eastAsia="Georgia" w:hAnsi="Georgia"/>
          <w:b/>
          <w:bCs/>
          <w:color w:val="4F46E5"/>
          <w:sz w:val="25"/>
          <w:szCs w:val="25"/>
        </w:rPr>
        <w:t xml:space="preserve">2.2 Moteur de profil</w:t>
      </w:r>
    </w:p>
    <w:p>
      <w:pPr>
        <w:spacing w:after="160" w:line="300"/>
        <w:jc w:val="both"/>
      </w:pPr>
      <w:r>
        <w:rPr>
          <w:rFonts w:ascii="Calibri" w:cs="Calibri" w:eastAsia="Calibri" w:hAnsi="Calibri"/>
          <w:color w:val="222222"/>
          <w:sz w:val="22"/>
          <w:szCs w:val="22"/>
        </w:rPr>
        <w:t xml:space="preserve">Chaque réponse attribue des points à une ou plusieurs des 10 dimensions de personnalité : Innovateur, Créatif, Business, Tech &amp; IA, Entrepreneurial, International, Hybride, Adaptatif, Leadership, Analyste.</w:t>
      </w:r>
    </w:p>
    <w:p>
      <w:pPr>
        <w:spacing w:after="160" w:line="300"/>
        <w:jc w:val="both"/>
      </w:pPr>
      <w:r>
        <w:rPr>
          <w:rFonts w:ascii="Calibri" w:cs="Calibri" w:eastAsia="Calibri" w:hAnsi="Calibri"/>
          <w:color w:val="222222"/>
          <w:sz w:val="22"/>
          <w:szCs w:val="22"/>
        </w:rPr>
        <w:t xml:space="preserve">À l'issue du test, l'algorithme identifie la dimension dominante et la dimension secondaire. Si la dimension secondaire atteint au moins 60 % du score de la dominante et que la combinaison figure parmi les 17 « profils combinés » définis (ex. « Architecte du Futur », « Builder », « Global Player »), ce profil combiné est présenté ; sinon, le profil individuel correspondant à la dimension dominante est affiché sous son nouveau nom défini par le Pôle Communication dans la maquette v2 : Game Changer (Innovateur), Storyteller (Créatif), The Deal (Business), Digital Native (Tech &amp; IA), The Founder (Entrepreneurial), World Player (International), Wild Card (Hybride), All-Terrain (Adaptatif), The Captain (Leadership), Data Mind (Analyste) — soit 27 profils possibles au total. La formation recommandée est ensuite déterminée par le croisement du profil et du niveau visé, selon le tableau de correspondances ; lorsque le tableau propose plusieurs formations pour un même croisement, la première constitue la recommandation principale (arbitrage du commanditaire).</w:t>
      </w:r>
    </w:p>
    <w:p>
      <w:pPr>
        <w:pStyle w:val="Heading2"/>
        <w:spacing w:after="160" w:before="280"/>
      </w:pPr>
      <w:r>
        <w:rPr>
          <w:rFonts w:ascii="Georgia" w:cs="Georgia" w:eastAsia="Georgia" w:hAnsi="Georgia"/>
          <w:b/>
          <w:bCs/>
          <w:color w:val="4F46E5"/>
          <w:sz w:val="25"/>
          <w:szCs w:val="25"/>
        </w:rPr>
        <w:t xml:space="preserve">2.3 Formations couvertes</w:t>
      </w:r>
    </w:p>
    <w:p>
      <w:pPr>
        <w:spacing w:after="160" w:line="300"/>
        <w:jc w:val="both"/>
      </w:pPr>
      <w:r>
        <w:rPr>
          <w:rFonts w:ascii="Calibri" w:cs="Calibri" w:eastAsia="Calibri" w:hAnsi="Calibri"/>
          <w:color w:val="222222"/>
          <w:sz w:val="22"/>
          <w:szCs w:val="22"/>
        </w:rPr>
        <w:t xml:space="preserve">Le catalogue du test est celui du tableau de correspondances : 23 formations en présentiel, réparties sur trois niveaux — 11 BTS (dont le BTS Services Informatiques aux Organisations, intitulé officiel confirmé par le commanditaire), 6 Bachelors et 6 Mastères. Le Programme Grande École et les formations e-learning sont exclus du périmètre, conformément aux retours du commanditaire du 15 juillet 2026. La maquette v2 conserve une définition résiduelle du PGE dans son code (sans qu'aucun profil n'y renvoie) : elle sera retirée de la version de production.</w:t>
      </w:r>
    </w:p>
    <w:p>
      <w:pPr>
        <w:pStyle w:val="Heading2"/>
        <w:spacing w:after="160" w:before="280"/>
      </w:pPr>
      <w:r>
        <w:rPr>
          <w:rFonts w:ascii="Georgia" w:cs="Georgia" w:eastAsia="Georgia" w:hAnsi="Georgia"/>
          <w:b/>
          <w:bCs/>
          <w:color w:val="4F46E5"/>
          <w:sz w:val="25"/>
          <w:szCs w:val="25"/>
        </w:rPr>
        <w:t xml:space="preserve">2.4 Limites actuelles</w:t>
      </w:r>
    </w:p>
    <w:p>
      <w:pPr>
        <w:pStyle w:val="ListParagraph"/>
        <w:numPr>
          <w:ilvl w:val="0"/>
          <w:numId w:val="3"/>
        </w:numPr>
        <w:spacing w:after="100" w:line="290"/>
      </w:pPr>
      <w:r>
        <w:rPr>
          <w:rFonts w:ascii="Calibri" w:cs="Calibri" w:eastAsia="Calibri" w:hAnsi="Calibri"/>
          <w:color w:val="222222"/>
          <w:sz w:val="22"/>
          <w:szCs w:val="22"/>
        </w:rPr>
        <w:t xml:space="preserve">Aucune persistance : les données du participant (identité, réponses, profil, formation recommandée) ne sont ni stockées ni transmises — l'appel réseau est présent en commentaire dans le code mais inactif.</w:t>
      </w:r>
    </w:p>
    <w:p>
      <w:pPr>
        <w:pStyle w:val="ListParagraph"/>
        <w:numPr>
          <w:ilvl w:val="0"/>
          <w:numId w:val="3"/>
        </w:numPr>
        <w:spacing w:after="100" w:line="290"/>
      </w:pPr>
      <w:r>
        <w:rPr>
          <w:rFonts w:ascii="Calibri" w:cs="Calibri" w:eastAsia="Calibri" w:hAnsi="Calibri"/>
          <w:color w:val="222222"/>
          <w:sz w:val="22"/>
          <w:szCs w:val="22"/>
        </w:rPr>
        <w:t xml:space="preserve">Aucune intégration HubSpot ni aucun mécanisme de consentement RGPD (case à cocher, mention d'information, politique de confidentialité).</w:t>
      </w:r>
    </w:p>
    <w:p>
      <w:pPr>
        <w:pStyle w:val="ListParagraph"/>
        <w:numPr>
          <w:ilvl w:val="0"/>
          <w:numId w:val="3"/>
        </w:numPr>
        <w:spacing w:after="100" w:line="290"/>
      </w:pPr>
      <w:r>
        <w:rPr>
          <w:rFonts w:ascii="Calibri" w:cs="Calibri" w:eastAsia="Calibri" w:hAnsi="Calibri"/>
          <w:color w:val="222222"/>
          <w:sz w:val="22"/>
          <w:szCs w:val="22"/>
        </w:rPr>
        <w:t xml:space="preserve">Aucun dispositif de mesure d'audience (analytics), ni de gestion des paramètres de campagne (UTM).</w:t>
      </w:r>
    </w:p>
    <w:p>
      <w:pPr>
        <w:pStyle w:val="ListParagraph"/>
        <w:numPr>
          <w:ilvl w:val="0"/>
          <w:numId w:val="3"/>
        </w:numPr>
        <w:spacing w:after="100" w:line="290"/>
      </w:pPr>
      <w:r>
        <w:rPr>
          <w:rFonts w:ascii="Calibri" w:cs="Calibri" w:eastAsia="Calibri" w:hAnsi="Calibri"/>
          <w:color w:val="222222"/>
          <w:sz w:val="22"/>
          <w:szCs w:val="22"/>
        </w:rPr>
        <w:t xml:space="preserve">Contenus (questions, textes de profils, formations, liens) codés « en dur » dans le fichier : toute mise à jour éditoriale nécessite une intervention technique.</w:t>
      </w:r>
    </w:p>
    <w:p>
      <w:pPr>
        <w:pStyle w:val="ListParagraph"/>
        <w:numPr>
          <w:ilvl w:val="0"/>
          <w:numId w:val="3"/>
        </w:numPr>
        <w:spacing w:after="100" w:line="290"/>
      </w:pPr>
      <w:r>
        <w:rPr>
          <w:rFonts w:ascii="Calibri" w:cs="Calibri" w:eastAsia="Calibri" w:hAnsi="Calibri"/>
          <w:color w:val="222222"/>
          <w:sz w:val="22"/>
          <w:szCs w:val="22"/>
        </w:rPr>
        <w:t xml:space="preserve">La maquette v2 ne comporte ni l'écran de choix du niveau ni les formations BTS : elle applique une règle implicite (profil individuel → Bachelor, profil combiné → Mastère) qui sera remplacée en production par le choix explicite du niveau et le tableau de correspondances.</w:t>
      </w:r>
    </w:p>
    <w:p>
      <w:r>
        <w:br w:type="page"/>
      </w:r>
    </w:p>
    <w:p>
      <w:pPr>
        <w:pStyle w:val="Heading1"/>
        <w:spacing w:after="200" w:before="360"/>
      </w:pPr>
      <w:r>
        <w:rPr>
          <w:rFonts w:ascii="Georgia" w:cs="Georgia" w:eastAsia="Georgia" w:hAnsi="Georgia"/>
          <w:b/>
          <w:bCs/>
          <w:color w:val="1F3864"/>
          <w:sz w:val="30"/>
          <w:szCs w:val="30"/>
        </w:rPr>
        <w:t xml:space="preserve">3. Périmètre fonctionnel de la version de production</w:t>
      </w:r>
    </w:p>
    <w:p>
      <w:pPr>
        <w:pStyle w:val="Heading2"/>
        <w:spacing w:after="160" w:before="280"/>
      </w:pPr>
      <w:r>
        <w:rPr>
          <w:rFonts w:ascii="Georgia" w:cs="Georgia" w:eastAsia="Georgia" w:hAnsi="Georgia"/>
          <w:b/>
          <w:bCs/>
          <w:color w:val="4F46E5"/>
          <w:sz w:val="25"/>
          <w:szCs w:val="25"/>
        </w:rPr>
        <w:t xml:space="preserve">3.1 Exigences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Réf.</w:t>
            </w:r>
          </w:p>
        </w:tc>
        <w:tc>
          <w:tcPr>
            <w:tcW w:type="dxa" w:w="696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Exigence</w:t>
            </w:r>
          </w:p>
        </w:tc>
        <w:tc>
          <w:tcPr>
            <w:tcW w:type="dxa" w:w="15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Priorité</w:t>
            </w:r>
          </w:p>
        </w:tc>
      </w:tr>
      <w:tr>
        <w:tc>
          <w:tcPr>
            <w:tcW w:type="dxa" w:w="9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EF-01</w:t>
            </w:r>
          </w:p>
        </w:tc>
        <w:tc>
          <w:tcPr>
            <w:tcW w:type="dxa" w:w="69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Reprendre le parcours utilisateur de la maquette v2 et appliquer la charte graphique ITIC Paris fournie (thème clair, palette, typographie Roboto, CTA « Bleu Action », logo officiel)</w:t>
            </w:r>
          </w:p>
        </w:tc>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Obligatoire</w:t>
            </w:r>
          </w:p>
        </w:tc>
      </w:tr>
      <w:tr>
        <w:tc>
          <w:tcPr>
            <w:tcW w:type="dxa" w:w="9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EF-02</w:t>
            </w:r>
          </w:p>
        </w:tc>
        <w:tc>
          <w:tcPr>
            <w:tcW w:type="dxa" w:w="69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Conserver le moteur de calcul des profils (10 dimensions, 17 profils combinés, 10 profils individuels renommés) et appliquer le tableau de correspondances profil × niveau pour la recommandation</w:t>
            </w:r>
          </w:p>
        </w:tc>
        <w:tc>
          <w:tcPr>
            <w:tcW w:type="dxa" w:w="15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Obligatoire</w:t>
            </w:r>
          </w:p>
        </w:tc>
      </w:tr>
      <w:tr>
        <w:tc>
          <w:tcPr>
            <w:tcW w:type="dxa" w:w="9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EF-12</w:t>
            </w:r>
          </w:p>
        </w:tc>
        <w:tc>
          <w:tcPr>
            <w:tcW w:type="dxa" w:w="69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Écran de choix du niveau visé (BTS / Bachelor / Mastère) en début de parcours, déterminant la formation recommandée</w:t>
            </w:r>
          </w:p>
        </w:tc>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Obligatoire</w:t>
            </w:r>
          </w:p>
        </w:tc>
      </w:tr>
      <w:tr>
        <w:tc>
          <w:tcPr>
            <w:tcW w:type="dxa" w:w="9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EF-03</w:t>
            </w:r>
          </w:p>
        </w:tc>
        <w:tc>
          <w:tcPr>
            <w:tcW w:type="dxa" w:w="69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Formulaire de capture : e-mail obligatoire avec validation ; prénom et téléphone facultatifs</w:t>
            </w:r>
          </w:p>
        </w:tc>
        <w:tc>
          <w:tcPr>
            <w:tcW w:type="dxa" w:w="15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Obligatoire</w:t>
            </w:r>
          </w:p>
        </w:tc>
      </w:tr>
      <w:tr>
        <w:tc>
          <w:tcPr>
            <w:tcW w:type="dxa" w:w="9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EF-04</w:t>
            </w:r>
          </w:p>
        </w:tc>
        <w:tc>
          <w:tcPr>
            <w:tcW w:type="dxa" w:w="69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Case de consentement unique (non pré-cochée, facultative) portant sur la réception de communications d'ITIC Paris ; mention d'information RGPD avec lien vers la politique de confidentialité affichée sous le formulaire</w:t>
            </w:r>
          </w:p>
        </w:tc>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Obligatoire</w:t>
            </w:r>
          </w:p>
        </w:tc>
      </w:tr>
      <w:tr>
        <w:tc>
          <w:tcPr>
            <w:tcW w:type="dxa" w:w="9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EF-05</w:t>
            </w:r>
          </w:p>
        </w:tc>
        <w:tc>
          <w:tcPr>
            <w:tcW w:type="dxa" w:w="69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Transmission automatique du lead et de ses résultats vers HubSpot à la soumission du formulaire</w:t>
            </w:r>
          </w:p>
        </w:tc>
        <w:tc>
          <w:tcPr>
            <w:tcW w:type="dxa" w:w="15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Obligatoire</w:t>
            </w:r>
          </w:p>
        </w:tc>
      </w:tr>
      <w:tr>
        <w:tc>
          <w:tcPr>
            <w:tcW w:type="dxa" w:w="9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EF-06</w:t>
            </w:r>
          </w:p>
        </w:tc>
        <w:tc>
          <w:tcPr>
            <w:tcW w:type="dxa" w:w="69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Affichage des résultats même en cas d'échec temporaire de la transmission HubSpot (mécanisme de reprise côté serveur)</w:t>
            </w:r>
          </w:p>
        </w:tc>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Obligatoire</w:t>
            </w:r>
          </w:p>
        </w:tc>
      </w:tr>
      <w:tr>
        <w:tc>
          <w:tcPr>
            <w:tcW w:type="dxa" w:w="9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EF-07</w:t>
            </w:r>
          </w:p>
        </w:tc>
        <w:tc>
          <w:tcPr>
            <w:tcW w:type="dxa" w:w="69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Compatibilité mobile, tablette et ordinateur (le public cible consulte majoritairement sur smartphone)</w:t>
            </w:r>
          </w:p>
        </w:tc>
        <w:tc>
          <w:tcPr>
            <w:tcW w:type="dxa" w:w="15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Obligatoire</w:t>
            </w:r>
          </w:p>
        </w:tc>
      </w:tr>
      <w:tr>
        <w:tc>
          <w:tcPr>
            <w:tcW w:type="dxa" w:w="9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EF-08</w:t>
            </w:r>
          </w:p>
        </w:tc>
        <w:tc>
          <w:tcPr>
            <w:tcW w:type="dxa" w:w="69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Capture des paramètres de campagne (utm_source, utm_medium, utm_campaign…) et transmission à HubSpot</w:t>
            </w:r>
          </w:p>
        </w:tc>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Recommandé</w:t>
            </w:r>
          </w:p>
        </w:tc>
      </w:tr>
      <w:tr>
        <w:tc>
          <w:tcPr>
            <w:tcW w:type="dxa" w:w="9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EF-11</w:t>
            </w:r>
          </w:p>
        </w:tc>
        <w:tc>
          <w:tcPr>
            <w:tcW w:type="dxa" w:w="69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Mesure du tunnel de conversion : visiteurs de la page, tests démarrés, abandons par question, tests terminés — au-delà du seul enregistrement des leads dans HubSpot</w:t>
            </w:r>
          </w:p>
        </w:tc>
        <w:tc>
          <w:tcPr>
            <w:tcW w:type="dxa" w:w="15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Obligatoire</w:t>
            </w:r>
          </w:p>
        </w:tc>
      </w:tr>
      <w:tr>
        <w:tc>
          <w:tcPr>
            <w:tcW w:type="dxa" w:w="9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EF-09</w:t>
            </w:r>
          </w:p>
        </w:tc>
        <w:tc>
          <w:tcPr>
            <w:tcW w:type="dxa" w:w="69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Bouton de partage / relance du test à la fin du parcours</w:t>
            </w:r>
          </w:p>
        </w:tc>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Optionnel</w:t>
            </w:r>
          </w:p>
        </w:tc>
      </w:tr>
      <w:tr>
        <w:tc>
          <w:tcPr>
            <w:tcW w:type="dxa" w:w="9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EF-10</w:t>
            </w:r>
          </w:p>
        </w:tc>
        <w:tc>
          <w:tcPr>
            <w:tcW w:type="dxa" w:w="69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Envoi d'un e-mail récapitulatif du profil au participant (via workflow HubSpot)</w:t>
            </w:r>
          </w:p>
        </w:tc>
        <w:tc>
          <w:tcPr>
            <w:tcW w:type="dxa" w:w="15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Optionnel — à arbitrer</w:t>
            </w:r>
          </w:p>
        </w:tc>
      </w:tr>
    </w:tbl>
    <w:p>
      <w:pPr>
        <w:pStyle w:val="Heading2"/>
        <w:spacing w:after="160" w:before="280"/>
      </w:pPr>
      <w:r>
        <w:rPr>
          <w:rFonts w:ascii="Georgia" w:cs="Georgia" w:eastAsia="Georgia" w:hAnsi="Georgia"/>
          <w:b/>
          <w:bCs/>
          <w:color w:val="4F46E5"/>
          <w:sz w:val="25"/>
          <w:szCs w:val="25"/>
        </w:rPr>
        <w:t xml:space="preserve">3.2 Intégration HubSpot — spécification</w:t>
      </w:r>
    </w:p>
    <w:p>
      <w:pPr>
        <w:spacing w:after="160" w:line="300"/>
        <w:jc w:val="both"/>
      </w:pPr>
      <w:r>
        <w:rPr>
          <w:rFonts w:ascii="Calibri" w:cs="Calibri" w:eastAsia="Calibri" w:hAnsi="Calibri"/>
          <w:color w:val="222222"/>
          <w:sz w:val="22"/>
          <w:szCs w:val="22"/>
        </w:rPr>
        <w:t xml:space="preserve">À la soumission du formulaire de capture, les données suivantes seront transmises au compte HubSpot d'ITIC Paris, créant ou mettant à jour un contact (déduplication native par adresse e-mail)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rPr>
          <w:tblHeader/>
        </w:trPr>
        <w:tc>
          <w:tcPr>
            <w:tcW w:type="dxa" w:w="30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Donnée</w:t>
            </w:r>
          </w:p>
        </w:tc>
        <w:tc>
          <w:tcPr>
            <w:tcW w:type="dxa" w:w="416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Propriété HubSpot</w:t>
            </w:r>
          </w:p>
        </w:tc>
        <w:tc>
          <w:tcPr>
            <w:tcW w:type="dxa" w:w="22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Type</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Adresse e-mail</w:t>
            </w:r>
          </w:p>
        </w:tc>
        <w:tc>
          <w:tcPr>
            <w:tcW w:type="dxa" w:w="41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email (standard)</w:t>
            </w:r>
          </w:p>
        </w:tc>
        <w:tc>
          <w:tcPr>
            <w:tcW w:type="dxa" w:w="22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Standard</w:t>
            </w:r>
          </w:p>
        </w:tc>
      </w:tr>
      <w:tr>
        <w:tc>
          <w:tcPr>
            <w:tcW w:type="dxa" w:w="30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Prénom</w:t>
            </w:r>
          </w:p>
        </w:tc>
        <w:tc>
          <w:tcPr>
            <w:tcW w:type="dxa" w:w="41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firstname (standard)</w:t>
            </w:r>
          </w:p>
        </w:tc>
        <w:tc>
          <w:tcPr>
            <w:tcW w:type="dxa" w:w="22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Standard</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Téléphone (facultatif)</w:t>
            </w:r>
          </w:p>
        </w:tc>
        <w:tc>
          <w:tcPr>
            <w:tcW w:type="dxa" w:w="41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phone (standard)</w:t>
            </w:r>
          </w:p>
        </w:tc>
        <w:tc>
          <w:tcPr>
            <w:tcW w:type="dxa" w:w="22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Standard</w:t>
            </w:r>
          </w:p>
        </w:tc>
      </w:tr>
      <w:tr>
        <w:tc>
          <w:tcPr>
            <w:tcW w:type="dxa" w:w="30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Profil affiché</w:t>
            </w:r>
          </w:p>
        </w:tc>
        <w:tc>
          <w:tcPr>
            <w:tcW w:type="dxa" w:w="41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profil_test</w:t>
            </w:r>
          </w:p>
        </w:tc>
        <w:tc>
          <w:tcPr>
            <w:tcW w:type="dxa" w:w="22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Personnalisée (liste — 27 valeurs)</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Formation recommandée (niveau inclus dans le libellé)</w:t>
            </w:r>
          </w:p>
        </w:tc>
        <w:tc>
          <w:tcPr>
            <w:tcW w:type="dxa" w:w="41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formation_reco_test</w:t>
            </w:r>
          </w:p>
        </w:tc>
        <w:tc>
          <w:tcPr>
            <w:tcW w:type="dxa" w:w="22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Personnalisée (liste — 23 valeurs)</w:t>
            </w:r>
          </w:p>
        </w:tc>
      </w:tr>
      <w:tr>
        <w:tc>
          <w:tcPr>
            <w:tcW w:type="dxa" w:w="30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Date de passage</w:t>
            </w:r>
          </w:p>
        </w:tc>
        <w:tc>
          <w:tcPr>
            <w:tcW w:type="dxa" w:w="41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date_test</w:t>
            </w:r>
          </w:p>
        </w:tc>
        <w:tc>
          <w:tcPr>
            <w:tcW w:type="dxa" w:w="22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Personnalisée (date)</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Source marketing</w:t>
            </w:r>
          </w:p>
        </w:tc>
        <w:tc>
          <w:tcPr>
            <w:tcW w:type="dxa" w:w="41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source_marketing</w:t>
            </w:r>
          </w:p>
        </w:tc>
        <w:tc>
          <w:tcPr>
            <w:tcW w:type="dxa" w:w="22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Personnalisée (liste — option « Test Profil »)</w:t>
            </w:r>
          </w:p>
        </w:tc>
      </w:tr>
      <w:tr>
        <w:tc>
          <w:tcPr>
            <w:tcW w:type="dxa" w:w="30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Consentement RGPD</w:t>
            </w:r>
          </w:p>
        </w:tc>
        <w:tc>
          <w:tcPr>
            <w:tcW w:type="dxa" w:w="41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statut d'abonnement / base légale</w:t>
            </w:r>
          </w:p>
        </w:tc>
        <w:tc>
          <w:tcPr>
            <w:tcW w:type="dxa" w:w="22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Standard HubSpot</w:t>
            </w:r>
          </w:p>
        </w:tc>
      </w:tr>
    </w:tbl>
    <w:p>
      <w:pPr>
        <w:spacing w:after="160" w:line="300"/>
        <w:jc w:val="both"/>
      </w:pPr>
      <w:r>
        <w:rPr>
          <w:rFonts w:ascii="Calibri" w:cs="Calibri" w:eastAsia="Calibri" w:hAnsi="Calibri"/>
          <w:color w:val="222222"/>
          <w:sz w:val="22"/>
          <w:szCs w:val="22"/>
        </w:rPr>
        <w:t xml:space="preserve">Modalité technique privilégiée : appel à l'API HubSpot (Forms API ou API Contacts via une application privée) depuis une fine couche serveur, afin de ne jamais exposer de clé ou de jeton d'accès dans le code public de la page. L'alternative consistant à utiliser un formulaire HubSpot embarqué (embed) sera écartée sauf demande contraire, car elle ne permet pas de conserver l'expérience visuelle du prototype.</w:t>
      </w:r>
    </w:p>
    <w:p>
      <w:pPr>
        <w:spacing w:after="160" w:line="300"/>
        <w:jc w:val="both"/>
      </w:pPr>
      <w:r>
        <w:rPr>
          <w:rFonts w:ascii="Calibri" w:cs="Calibri" w:eastAsia="Calibri" w:hAnsi="Calibri"/>
          <w:color w:val="222222"/>
          <w:sz w:val="22"/>
          <w:szCs w:val="22"/>
        </w:rPr>
        <w:t xml:space="preserve">Conformément à l'arbitrage du commanditaire, le développeur fournira un tableau de spécification exhaustif des propriétés personnalisées (nom interne, libellé, type de champ — texte, nombre, date, liste déroulante — et valeurs possibles des listes) ; leur création dans le portail HubSpot sera réalisée par le Pôle Communication sur la base de ce tableau, afin de s'insérer proprement dans la taxonomie existante du portail.</w:t>
      </w:r>
    </w:p>
    <w:p>
      <w:pPr>
        <w:pStyle w:val="Heading2"/>
        <w:spacing w:after="160" w:before="280"/>
      </w:pPr>
      <w:r>
        <w:rPr>
          <w:rFonts w:ascii="Georgia" w:cs="Georgia" w:eastAsia="Georgia" w:hAnsi="Georgia"/>
          <w:b/>
          <w:bCs/>
          <w:color w:val="4F46E5"/>
          <w:sz w:val="25"/>
          <w:szCs w:val="25"/>
        </w:rPr>
        <w:t xml:space="preserve">3.3 Hors périmètre (version 1)</w:t>
      </w:r>
    </w:p>
    <w:p>
      <w:pPr>
        <w:pStyle w:val="ListParagraph"/>
        <w:numPr>
          <w:ilvl w:val="0"/>
          <w:numId w:val="3"/>
        </w:numPr>
        <w:spacing w:after="100" w:line="290"/>
      </w:pPr>
      <w:r>
        <w:rPr>
          <w:rFonts w:ascii="Calibri" w:cs="Calibri" w:eastAsia="Calibri" w:hAnsi="Calibri"/>
          <w:color w:val="222222"/>
          <w:sz w:val="22"/>
          <w:szCs w:val="22"/>
        </w:rPr>
        <w:t xml:space="preserve">Interface d'administration permettant de modifier les questions, profils et formations sans intervention technique (envisageable en version 2).</w:t>
      </w:r>
    </w:p>
    <w:p>
      <w:pPr>
        <w:pStyle w:val="ListParagraph"/>
        <w:numPr>
          <w:ilvl w:val="0"/>
          <w:numId w:val="3"/>
        </w:numPr>
        <w:spacing w:after="100" w:line="290"/>
      </w:pPr>
      <w:r>
        <w:rPr>
          <w:rFonts w:ascii="Calibri" w:cs="Calibri" w:eastAsia="Calibri" w:hAnsi="Calibri"/>
          <w:color w:val="222222"/>
          <w:sz w:val="22"/>
          <w:szCs w:val="22"/>
        </w:rPr>
        <w:t xml:space="preserve">Workflows HubSpot de relance et campagnes e-mailing : ils sont configurés par l'équipe marketing ; le projet garantit uniquement que les données nécessaires à leur déclenchement sont présentes.</w:t>
      </w:r>
    </w:p>
    <w:p>
      <w:pPr>
        <w:pStyle w:val="ListParagraph"/>
        <w:numPr>
          <w:ilvl w:val="0"/>
          <w:numId w:val="3"/>
        </w:numPr>
        <w:spacing w:after="100" w:line="290"/>
      </w:pPr>
      <w:r>
        <w:rPr>
          <w:rFonts w:ascii="Calibri" w:cs="Calibri" w:eastAsia="Calibri" w:hAnsi="Calibri"/>
          <w:color w:val="222222"/>
          <w:sz w:val="22"/>
          <w:szCs w:val="22"/>
        </w:rPr>
        <w:t xml:space="preserve">Traductions du parcours dans d'autres langues que le français.</w:t>
      </w:r>
    </w:p>
    <w:p>
      <w:pPr>
        <w:pStyle w:val="ListParagraph"/>
        <w:numPr>
          <w:ilvl w:val="0"/>
          <w:numId w:val="3"/>
        </w:numPr>
        <w:spacing w:after="100" w:line="290"/>
      </w:pPr>
      <w:r>
        <w:rPr>
          <w:rFonts w:ascii="Calibri" w:cs="Calibri" w:eastAsia="Calibri" w:hAnsi="Calibri"/>
          <w:color w:val="222222"/>
          <w:sz w:val="22"/>
          <w:szCs w:val="22"/>
        </w:rPr>
        <w:t xml:space="preserve">Tableau de bord statistique dédié (les rapports HubSpot et l'outil d'analytics couvrent le besoin).</w:t>
      </w:r>
    </w:p>
    <w:p>
      <w:r>
        <w:br w:type="page"/>
      </w:r>
    </w:p>
    <w:p>
      <w:pPr>
        <w:pStyle w:val="Heading1"/>
        <w:spacing w:after="200" w:before="360"/>
      </w:pPr>
      <w:r>
        <w:rPr>
          <w:rFonts w:ascii="Georgia" w:cs="Georgia" w:eastAsia="Georgia" w:hAnsi="Georgia"/>
          <w:b/>
          <w:bCs/>
          <w:color w:val="1F3864"/>
          <w:sz w:val="30"/>
          <w:szCs w:val="30"/>
        </w:rPr>
        <w:t xml:space="preserve">4. Exigences non fonctionnelles</w:t>
      </w:r>
    </w:p>
    <w:p>
      <w:pPr>
        <w:pStyle w:val="Heading2"/>
        <w:spacing w:after="160" w:before="280"/>
      </w:pPr>
      <w:r>
        <w:rPr>
          <w:rFonts w:ascii="Georgia" w:cs="Georgia" w:eastAsia="Georgia" w:hAnsi="Georgia"/>
          <w:b/>
          <w:bCs/>
          <w:color w:val="4F46E5"/>
          <w:sz w:val="25"/>
          <w:szCs w:val="25"/>
        </w:rPr>
        <w:t xml:space="preserve">4.1 Conformité RGPD</w:t>
      </w:r>
    </w:p>
    <w:p>
      <w:pPr>
        <w:pStyle w:val="ListParagraph"/>
        <w:numPr>
          <w:ilvl w:val="0"/>
          <w:numId w:val="3"/>
        </w:numPr>
        <w:spacing w:after="100" w:line="290"/>
      </w:pPr>
      <w:r>
        <w:rPr>
          <w:rFonts w:ascii="Calibri" w:cs="Calibri" w:eastAsia="Calibri" w:hAnsi="Calibri"/>
          <w:color w:val="222222"/>
          <w:sz w:val="22"/>
          <w:szCs w:val="22"/>
        </w:rPr>
        <w:t xml:space="preserve">Dispositif à case unique, conformément à l'arbitrage du commanditaire. Il repose sur la distinction des bases légales : le traitement des réponses pour calculer et afficher le résultat ne requiert pas de case à cocher — il constitue l'exécution de la demande du participant, matérialisée par une mention d'information claire (finalité, responsable de traitement, lien vers la politique de confidentialité) placée sous le formulaire.</w:t>
      </w:r>
    </w:p>
    <w:p>
      <w:pPr>
        <w:pStyle w:val="ListParagraph"/>
        <w:numPr>
          <w:ilvl w:val="0"/>
          <w:numId w:val="3"/>
        </w:numPr>
        <w:spacing w:after="100" w:line="290"/>
      </w:pPr>
      <w:r>
        <w:rPr>
          <w:rFonts w:ascii="Calibri" w:cs="Calibri" w:eastAsia="Calibri" w:hAnsi="Calibri"/>
          <w:color w:val="222222"/>
          <w:sz w:val="22"/>
          <w:szCs w:val="22"/>
        </w:rPr>
        <w:t xml:space="preserve">La case unique, non pré-cochée et facultative, porte exclusivement sur la réception de communications d'ITIC Paris (prospection). Le participant qui ne la coche pas accède normalement à ses résultats : cette liberté est la condition de validité du consentement marketing au sens du RGPD. Le lead est alors créé dans HubSpot avec ses résultats, mais sans opt-in de communication.</w:t>
      </w:r>
    </w:p>
    <w:p>
      <w:pPr>
        <w:pStyle w:val="ListParagraph"/>
        <w:numPr>
          <w:ilvl w:val="0"/>
          <w:numId w:val="3"/>
        </w:numPr>
        <w:spacing w:after="100" w:line="290"/>
      </w:pPr>
      <w:r>
        <w:rPr>
          <w:rFonts w:ascii="Calibri" w:cs="Calibri" w:eastAsia="Calibri" w:hAnsi="Calibri"/>
          <w:color w:val="222222"/>
          <w:sz w:val="22"/>
          <w:szCs w:val="22"/>
        </w:rPr>
        <w:t xml:space="preserve">Lien vers la politique de confidentialité et mention des droits d'accès, de rectification et de suppression.</w:t>
      </w:r>
    </w:p>
    <w:p>
      <w:pPr>
        <w:pStyle w:val="ListParagraph"/>
        <w:numPr>
          <w:ilvl w:val="0"/>
          <w:numId w:val="3"/>
        </w:numPr>
        <w:spacing w:after="100" w:line="290"/>
      </w:pPr>
      <w:r>
        <w:rPr>
          <w:rFonts w:ascii="Calibri" w:cs="Calibri" w:eastAsia="Calibri" w:hAnsi="Calibri"/>
          <w:color w:val="222222"/>
          <w:sz w:val="22"/>
          <w:szCs w:val="22"/>
        </w:rPr>
        <w:t xml:space="preserve">Le public visé pouvant inclure des lycéens mineurs, la formulation du consentement et la politique de confidentialité devront être validées par le référent RGPD d'ITIC Paris.</w:t>
      </w:r>
    </w:p>
    <w:p>
      <w:pPr>
        <w:pStyle w:val="ListParagraph"/>
        <w:numPr>
          <w:ilvl w:val="0"/>
          <w:numId w:val="3"/>
        </w:numPr>
        <w:spacing w:after="100" w:line="290"/>
      </w:pPr>
      <w:r>
        <w:rPr>
          <w:rFonts w:ascii="Calibri" w:cs="Calibri" w:eastAsia="Calibri" w:hAnsi="Calibri"/>
          <w:color w:val="222222"/>
          <w:sz w:val="22"/>
          <w:szCs w:val="22"/>
        </w:rPr>
        <w:t xml:space="preserve">Aucune donnée personnelle ne transite ni n'est stockée en dehors de HubSpot et de l'éventuelle file de reprise serveur (durée de rétention courte, à définir).</w:t>
      </w:r>
    </w:p>
    <w:p>
      <w:pPr>
        <w:pStyle w:val="Heading2"/>
        <w:spacing w:after="160" w:before="280"/>
      </w:pPr>
      <w:r>
        <w:rPr>
          <w:rFonts w:ascii="Georgia" w:cs="Georgia" w:eastAsia="Georgia" w:hAnsi="Georgia"/>
          <w:b/>
          <w:bCs/>
          <w:color w:val="4F46E5"/>
          <w:sz w:val="25"/>
          <w:szCs w:val="25"/>
        </w:rPr>
        <w:t xml:space="preserve">4.2 Performance, sécurité et qualité</w:t>
      </w:r>
    </w:p>
    <w:p>
      <w:pPr>
        <w:pStyle w:val="ListParagraph"/>
        <w:numPr>
          <w:ilvl w:val="0"/>
          <w:numId w:val="3"/>
        </w:numPr>
        <w:spacing w:after="100" w:line="290"/>
      </w:pPr>
      <w:r>
        <w:rPr>
          <w:rFonts w:ascii="Calibri" w:cs="Calibri" w:eastAsia="Calibri" w:hAnsi="Calibri"/>
          <w:color w:val="222222"/>
          <w:sz w:val="22"/>
          <w:szCs w:val="22"/>
        </w:rPr>
        <w:t xml:space="preserve">Temps de chargement initial inférieur à 3 secondes sur connexion mobile 4G ; page optimisée (polices, animations, poids total).</w:t>
      </w:r>
    </w:p>
    <w:p>
      <w:pPr>
        <w:pStyle w:val="ListParagraph"/>
        <w:numPr>
          <w:ilvl w:val="0"/>
          <w:numId w:val="3"/>
        </w:numPr>
        <w:spacing w:after="100" w:line="290"/>
      </w:pPr>
      <w:r>
        <w:rPr>
          <w:rFonts w:ascii="Calibri" w:cs="Calibri" w:eastAsia="Calibri" w:hAnsi="Calibri"/>
          <w:color w:val="222222"/>
          <w:sz w:val="22"/>
          <w:szCs w:val="22"/>
        </w:rPr>
        <w:t xml:space="preserve">Secrets HubSpot stockés côté serveur uniquement (variables d'environnement) ; protection du point d'entrée serveur contre les soumissions automatisées (limitation de débit, honeypot ou équivalent).</w:t>
      </w:r>
    </w:p>
    <w:p>
      <w:pPr>
        <w:pStyle w:val="ListParagraph"/>
        <w:numPr>
          <w:ilvl w:val="0"/>
          <w:numId w:val="3"/>
        </w:numPr>
        <w:spacing w:after="100" w:line="290"/>
      </w:pPr>
      <w:r>
        <w:rPr>
          <w:rFonts w:ascii="Calibri" w:cs="Calibri" w:eastAsia="Calibri" w:hAnsi="Calibri"/>
          <w:color w:val="222222"/>
          <w:sz w:val="22"/>
          <w:szCs w:val="22"/>
        </w:rPr>
        <w:t xml:space="preserve">Accessibilité : contrastes suffisants, navigation clavier, textes alternatifs — le thème sombre du prototype sera ajusté si nécessaire.</w:t>
      </w:r>
    </w:p>
    <w:p>
      <w:pPr>
        <w:pStyle w:val="ListParagraph"/>
        <w:numPr>
          <w:ilvl w:val="0"/>
          <w:numId w:val="3"/>
        </w:numPr>
        <w:spacing w:after="100" w:line="290"/>
      </w:pPr>
      <w:r>
        <w:rPr>
          <w:rFonts w:ascii="Calibri" w:cs="Calibri" w:eastAsia="Calibri" w:hAnsi="Calibri"/>
          <w:color w:val="222222"/>
          <w:sz w:val="22"/>
          <w:szCs w:val="22"/>
        </w:rPr>
        <w:t xml:space="preserve">Compatibilité navigateurs : dernières versions de Chrome, Safari, Firefox, Edge, y compris navigateurs mobiles.</w:t>
      </w:r>
    </w:p>
    <w:p>
      <w:pPr>
        <w:pStyle w:val="Heading2"/>
        <w:spacing w:after="160" w:before="280"/>
      </w:pPr>
      <w:r>
        <w:rPr>
          <w:rFonts w:ascii="Georgia" w:cs="Georgia" w:eastAsia="Georgia" w:hAnsi="Georgia"/>
          <w:b/>
          <w:bCs/>
          <w:color w:val="4F46E5"/>
          <w:sz w:val="25"/>
          <w:szCs w:val="25"/>
        </w:rPr>
        <w:t xml:space="preserve">4.3 Hébergement et exploitation</w:t>
      </w:r>
    </w:p>
    <w:p>
      <w:pPr>
        <w:spacing w:after="160" w:line="300"/>
        <w:jc w:val="both"/>
      </w:pPr>
      <w:r>
        <w:rPr>
          <w:rFonts w:ascii="Calibri" w:cs="Calibri" w:eastAsia="Calibri" w:hAnsi="Calibri"/>
          <w:color w:val="222222"/>
          <w:sz w:val="22"/>
          <w:szCs w:val="22"/>
        </w:rPr>
        <w:t xml:space="preserve">La page sera accessible via une adresse rattachée au domaine de l'école. En réponse à la question du commanditaire sur l'incidence du choix d'hébergement : un sous-domaine dédié (ex. future-profile.iticparis.com) correspond à un hébergement techniquement indépendant du site actuel — l'application et sa couche serveur sont déployées sur leur propre environnement, sans intervention sur le site iticparis.com ni dépendance envers son prestataire ; seule une entrée DNS est à créer. À l'inverse, une page du site existant (iticparis.com/future-profile) impliquerait d'intégrer le parcours et sa couche serveur dans l'infrastructure du site actuel, donc une coordination avec son prestataire et un couplage des mises à jour. Le sous-domaine dédié est retenu par défaut. Le certificat TLS, la journalisation des erreurs de transmission HubSpot et une supervision minimale font partie du périmètre.</w:t>
      </w:r>
    </w:p>
    <w:p>
      <w:pPr>
        <w:pStyle w:val="Heading1"/>
        <w:spacing w:after="200" w:before="360"/>
      </w:pPr>
      <w:r>
        <w:rPr>
          <w:rFonts w:ascii="Georgia" w:cs="Georgia" w:eastAsia="Georgia" w:hAnsi="Georgia"/>
          <w:b/>
          <w:bCs/>
          <w:color w:val="1F3864"/>
          <w:sz w:val="30"/>
          <w:szCs w:val="30"/>
        </w:rPr>
        <w:t xml:space="preserve">5. Livrables et démarche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tblHeader/>
        </w:trPr>
        <w:tc>
          <w:tcPr>
            <w:tcW w:type="dxa" w:w="21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Phase</w:t>
            </w:r>
          </w:p>
        </w:tc>
        <w:tc>
          <w:tcPr>
            <w:tcW w:type="dxa" w:w="506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Livrable</w:t>
            </w:r>
          </w:p>
        </w:tc>
        <w:tc>
          <w:tcPr>
            <w:tcW w:type="dxa" w:w="22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Validation attendue</w:t>
            </w:r>
          </w:p>
        </w:tc>
      </w:tr>
      <w:tr>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1. Cadrage</w:t>
            </w:r>
          </w:p>
        </w:tc>
        <w:tc>
          <w:tcPr>
            <w:tcW w:type="dxa" w:w="5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Présent cahier des charges validé + réponses aux points ouverts (§7)</w:t>
            </w:r>
          </w:p>
        </w:tc>
        <w:tc>
          <w:tcPr>
            <w:tcW w:type="dxa" w:w="22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 Lecugy</w:t>
            </w:r>
          </w:p>
        </w:tc>
      </w:tr>
      <w:tr>
        <w:tc>
          <w:tcPr>
            <w:tcW w:type="dxa" w:w="21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2. Spécification HubSpot</w:t>
            </w:r>
          </w:p>
        </w:tc>
        <w:tc>
          <w:tcPr>
            <w:tcW w:type="dxa" w:w="50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Tableau de spécification des propriétés (nom, libellé, type, valeurs) transmis au Pôle Communication, qui les crée dans le portail</w:t>
            </w:r>
          </w:p>
        </w:tc>
        <w:tc>
          <w:tcPr>
            <w:tcW w:type="dxa" w:w="22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 Lecugy / Pôle Communication</w:t>
            </w:r>
          </w:p>
        </w:tc>
      </w:tr>
      <w:tr>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3. Développement</w:t>
            </w:r>
          </w:p>
        </w:tc>
        <w:tc>
          <w:tcPr>
            <w:tcW w:type="dxa" w:w="5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Version de production du parcours + couche serveur d'intégration</w:t>
            </w:r>
          </w:p>
        </w:tc>
        <w:tc>
          <w:tcPr>
            <w:tcW w:type="dxa" w:w="22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Revue interne</w:t>
            </w:r>
          </w:p>
        </w:tc>
      </w:tr>
      <w:tr>
        <w:tc>
          <w:tcPr>
            <w:tcW w:type="dxa" w:w="21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4. Recette</w:t>
            </w:r>
          </w:p>
        </w:tc>
        <w:tc>
          <w:tcPr>
            <w:tcW w:type="dxa" w:w="50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Environnement de test accessible au commanditaire, scénarios de recette (parcours complet, lead visible dans HubSpot)</w:t>
            </w:r>
          </w:p>
        </w:tc>
        <w:tc>
          <w:tcPr>
            <w:tcW w:type="dxa" w:w="22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 Lecugy</w:t>
            </w:r>
          </w:p>
        </w:tc>
      </w:tr>
      <w:tr>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5. Mise en production</w:t>
            </w:r>
          </w:p>
        </w:tc>
        <w:tc>
          <w:tcPr>
            <w:tcW w:type="dxa" w:w="5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Page publiée sur l'adresse retenue, documentation d'exploitation</w:t>
            </w:r>
          </w:p>
        </w:tc>
        <w:tc>
          <w:tcPr>
            <w:tcW w:type="dxa" w:w="22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 Lecugy</w:t>
            </w:r>
          </w:p>
        </w:tc>
      </w:tr>
      <w:tr>
        <w:tc>
          <w:tcPr>
            <w:tcW w:type="dxa" w:w="21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6. Suivi</w:t>
            </w:r>
          </w:p>
        </w:tc>
        <w:tc>
          <w:tcPr>
            <w:tcW w:type="dxa" w:w="50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Période d'observation et corrections (2 semaines après mise en ligne)</w:t>
            </w:r>
          </w:p>
        </w:tc>
        <w:tc>
          <w:tcPr>
            <w:tcW w:type="dxa" w:w="22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w:t>
            </w:r>
          </w:p>
        </w:tc>
      </w:tr>
    </w:tbl>
    <w:p>
      <w:pPr>
        <w:spacing w:after="160" w:line="300"/>
        <w:jc w:val="both"/>
      </w:pPr>
      <w:r>
        <w:rPr>
          <w:rFonts w:ascii="Calibri" w:cs="Calibri" w:eastAsia="Calibri" w:hAnsi="Calibri"/>
          <w:i w:val="false"/>
          <w:iCs w:val="false"/>
          <w:color w:val="222222"/>
          <w:sz w:val="22"/>
          <w:szCs w:val="22"/>
        </w:rPr>
        <w:t xml:space="preserve">Le projet étant réalisé en interne dans le cadre de l'alternance du rédacteur, il ne donne lieu à aucune facturation ni charge financière de prestation. Un planning prévisionnel (jalons et délais) sera proposé après validation du présent document et des réponses aux questions ouvertes, celles-ci pouvant faire varier sensiblement le périmètre.</w:t>
      </w:r>
    </w:p>
    <w:p>
      <w:r>
        <w:br w:type="page"/>
      </w:r>
    </w:p>
    <w:p>
      <w:pPr>
        <w:pStyle w:val="Heading1"/>
        <w:spacing w:after="200" w:before="360"/>
      </w:pPr>
      <w:r>
        <w:rPr>
          <w:rFonts w:ascii="Georgia" w:cs="Georgia" w:eastAsia="Georgia" w:hAnsi="Georgia"/>
          <w:b/>
          <w:bCs/>
          <w:color w:val="1F3864"/>
          <w:sz w:val="30"/>
          <w:szCs w:val="30"/>
        </w:rPr>
        <w:t xml:space="preserve">6. Hypothèses et prérequis</w:t>
      </w:r>
    </w:p>
    <w:p>
      <w:pPr>
        <w:pStyle w:val="ListParagraph"/>
        <w:numPr>
          <w:ilvl w:val="0"/>
          <w:numId w:val="3"/>
        </w:numPr>
        <w:spacing w:after="100" w:line="290"/>
      </w:pPr>
      <w:r>
        <w:rPr>
          <w:rFonts w:ascii="Calibri" w:cs="Calibri" w:eastAsia="Calibri" w:hAnsi="Calibri"/>
          <w:color w:val="222222"/>
          <w:sz w:val="22"/>
          <w:szCs w:val="22"/>
        </w:rPr>
        <w:t xml:space="preserve">ITIC Paris dispose d'un abonnement HubSpot permettant la création de propriétés personnalisées et l'accès à l'API (ou aux formulaires HubSpot le cas échéant).</w:t>
      </w:r>
    </w:p>
    <w:p>
      <w:pPr>
        <w:pStyle w:val="ListParagraph"/>
        <w:numPr>
          <w:ilvl w:val="0"/>
          <w:numId w:val="3"/>
        </w:numPr>
        <w:spacing w:after="100" w:line="290"/>
      </w:pPr>
      <w:r>
        <w:rPr>
          <w:rFonts w:ascii="Calibri" w:cs="Calibri" w:eastAsia="Calibri" w:hAnsi="Calibri"/>
          <w:color w:val="222222"/>
          <w:sz w:val="22"/>
          <w:szCs w:val="22"/>
        </w:rPr>
        <w:t xml:space="preserve">Un accès au portail HubSpot sera fourni au développeur : une invitation sur le portail d'ITIC Paris (avec droits suffisants) ou la création d'une application privée dédiée est à prévoir — point à organiser avec le Pôle Communication en phase de cadrage.</w:t>
      </w:r>
    </w:p>
    <w:p>
      <w:pPr>
        <w:pStyle w:val="ListParagraph"/>
        <w:numPr>
          <w:ilvl w:val="0"/>
          <w:numId w:val="3"/>
        </w:numPr>
        <w:spacing w:after="100" w:line="290"/>
      </w:pPr>
      <w:r>
        <w:rPr>
          <w:rFonts w:ascii="Calibri" w:cs="Calibri" w:eastAsia="Calibri" w:hAnsi="Calibri"/>
          <w:color w:val="222222"/>
          <w:sz w:val="22"/>
          <w:szCs w:val="22"/>
        </w:rPr>
        <w:t xml:space="preserve">Les contenus éditoriaux font référence dans les documents transmis le 15 juillet 2026 par le commanditaire : la maquette v2 (questions, noms et descriptions des profils, fiches formations) et le tableau de correspondances ITIC_Profils_Diplomes.xlsx (orientation profil × niveau). Toute évolution ultérieure de ces contenus sera signalée par le Pôle Communication avant intégration.</w:t>
      </w:r>
    </w:p>
    <w:p>
      <w:pPr>
        <w:pStyle w:val="ListParagraph"/>
        <w:numPr>
          <w:ilvl w:val="0"/>
          <w:numId w:val="3"/>
        </w:numPr>
        <w:spacing w:after="100" w:line="290"/>
      </w:pPr>
      <w:r>
        <w:rPr>
          <w:rFonts w:ascii="Calibri" w:cs="Calibri" w:eastAsia="Calibri" w:hAnsi="Calibri"/>
          <w:color w:val="222222"/>
          <w:sz w:val="22"/>
          <w:szCs w:val="22"/>
        </w:rPr>
        <w:t xml:space="preserve">Le choix de l'adresse d'hébergement (sous-domaine ou répertoire du site existant) et les accès techniques associés (DNS, hébergeur) seront arbitrés en phase de cadrage.</w:t>
      </w:r>
    </w:p>
    <w:p>
      <w:pPr>
        <w:pStyle w:val="Heading1"/>
        <w:spacing w:after="200" w:before="360"/>
      </w:pPr>
      <w:r>
        <w:rPr>
          <w:rFonts w:ascii="Georgia" w:cs="Georgia" w:eastAsia="Georgia" w:hAnsi="Georgia"/>
          <w:b/>
          <w:bCs/>
          <w:color w:val="1F3864"/>
          <w:sz w:val="30"/>
          <w:szCs w:val="30"/>
        </w:rPr>
        <w:t xml:space="preserve">7. Arbitrages du commanditaire</w:t>
      </w:r>
    </w:p>
    <w:p>
      <w:pPr>
        <w:spacing w:after="160" w:line="300"/>
        <w:jc w:val="both"/>
      </w:pPr>
      <w:r>
        <w:rPr>
          <w:rFonts w:ascii="Calibri" w:cs="Calibri" w:eastAsia="Calibri" w:hAnsi="Calibri"/>
          <w:color w:val="222222"/>
          <w:sz w:val="22"/>
          <w:szCs w:val="22"/>
        </w:rPr>
        <w:t xml:space="preserve">Les points ouverts de la version 1.0 ont été soumis au commanditaire, qui a rendu ses arbitrages par annotations le 8 juillet 2026. Le tableau ci-dessous consigne les décisions retenues, désormais intégrées au périmètre décrit dans le présent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60"/>
        <w:gridCol w:w="5600"/>
      </w:tblGrid>
      <w:tr>
        <w:trPr>
          <w:tblHeader/>
        </w:trPr>
        <w:tc>
          <w:tcPr>
            <w:tcW w:type="dxa" w:w="7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N°</w:t>
            </w:r>
          </w:p>
        </w:tc>
        <w:tc>
          <w:tcPr>
            <w:tcW w:type="dxa" w:w="306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Point</w:t>
            </w:r>
          </w:p>
        </w:tc>
        <w:tc>
          <w:tcPr>
            <w:tcW w:type="dxa" w:w="56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Décision retenue</w:t>
            </w:r>
          </w:p>
        </w:tc>
      </w:tr>
      <w:tr>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Q1</w:t>
            </w:r>
          </w:p>
        </w:tc>
        <w:tc>
          <w:tcPr>
            <w:tcW w:type="dxa" w:w="3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Champs du formulaire de capture</w:t>
            </w:r>
          </w:p>
        </w:tc>
        <w:tc>
          <w:tcPr>
            <w:tcW w:type="dxa" w:w="5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E-mail (obligatoire), prénom et téléphone (facultatifs)</w:t>
            </w:r>
          </w:p>
        </w:tc>
      </w:tr>
      <w:tr>
        <w:tc>
          <w:tcPr>
            <w:tcW w:type="dxa" w:w="7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Q2</w:t>
            </w:r>
          </w:p>
        </w:tc>
        <w:tc>
          <w:tcPr>
            <w:tcW w:type="dxa" w:w="30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Moment de la capture</w:t>
            </w:r>
          </w:p>
        </w:tc>
        <w:tc>
          <w:tcPr>
            <w:tcW w:type="dxa" w:w="56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Avant l'affichage des résultats, comme dans le prototype (validé tacitement)</w:t>
            </w:r>
          </w:p>
        </w:tc>
      </w:tr>
      <w:tr>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Q3</w:t>
            </w:r>
          </w:p>
        </w:tc>
        <w:tc>
          <w:tcPr>
            <w:tcW w:type="dxa" w:w="3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Consentements RGPD</w:t>
            </w:r>
          </w:p>
        </w:tc>
        <w:tc>
          <w:tcPr>
            <w:tcW w:type="dxa" w:w="5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Case unique retenue (arbitrage confirmé de vive voix) : le traitement du test repose sur la demande du participant, couverte par une mention d'information ; la case — facultative — porte sur la seule prospection. Dispositif détaillé au §4.1</w:t>
            </w:r>
          </w:p>
        </w:tc>
      </w:tr>
      <w:tr>
        <w:tc>
          <w:tcPr>
            <w:tcW w:type="dxa" w:w="7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Q4</w:t>
            </w:r>
          </w:p>
        </w:tc>
        <w:tc>
          <w:tcPr>
            <w:tcW w:type="dxa" w:w="30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Méthode d'intégration HubSpot</w:t>
            </w:r>
          </w:p>
        </w:tc>
        <w:tc>
          <w:tcPr>
            <w:tcW w:type="dxa" w:w="56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API via couche serveur (validé tacitement)</w:t>
            </w:r>
          </w:p>
        </w:tc>
      </w:tr>
      <w:tr>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Q5</w:t>
            </w:r>
          </w:p>
        </w:tc>
        <w:tc>
          <w:tcPr>
            <w:tcW w:type="dxa" w:w="3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E-mail de restitution du profil</w:t>
            </w:r>
          </w:p>
        </w:tc>
        <w:tc>
          <w:tcPr>
            <w:tcW w:type="dxa" w:w="5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Oui, workflow configuré par le Pôle Communication (validé tacitement)</w:t>
            </w:r>
          </w:p>
        </w:tc>
      </w:tr>
      <w:tr>
        <w:tc>
          <w:tcPr>
            <w:tcW w:type="dxa" w:w="7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Q6</w:t>
            </w:r>
          </w:p>
        </w:tc>
        <w:tc>
          <w:tcPr>
            <w:tcW w:type="dxa" w:w="30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Adresse de publication</w:t>
            </w:r>
          </w:p>
        </w:tc>
        <w:tc>
          <w:tcPr>
            <w:tcW w:type="dxa" w:w="56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Sous-domaine dédié — les incidences en matière d'hébergement sont explicitées au §4.3</w:t>
            </w:r>
          </w:p>
        </w:tc>
      </w:tr>
      <w:tr>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Q7</w:t>
            </w:r>
          </w:p>
        </w:tc>
        <w:tc>
          <w:tcPr>
            <w:tcW w:type="dxa" w:w="3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Mesure d'audience</w:t>
            </w:r>
          </w:p>
        </w:tc>
        <w:tc>
          <w:tcPr>
            <w:tcW w:type="dxa" w:w="5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Demande élargie : mesurer l'ensemble du tunnel (visiteurs, tests démarrés, abandons et question d'abandon, tests terminés), et non les seuls leads aboutis — traduite en exigence EF-11 ; l'outillage retenu (tracking HubSpot avec bannière cookies, analytics respectueux type Matomo, ou événements anonymes) sera proposé en phase de spécification</w:t>
            </w:r>
          </w:p>
        </w:tc>
      </w:tr>
      <w:tr>
        <w:tc>
          <w:tcPr>
            <w:tcW w:type="dxa" w:w="7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Q8</w:t>
            </w:r>
          </w:p>
        </w:tc>
        <w:tc>
          <w:tcPr>
            <w:tcW w:type="dxa" w:w="30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Scores dans HubSpot</w:t>
            </w:r>
          </w:p>
        </w:tc>
        <w:tc>
          <w:tcPr>
            <w:tcW w:type="dxa" w:w="56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Profil et formation recommandée uniquement ; les scores détaillés des 10 dimensions ne sont pas transmis</w:t>
            </w:r>
          </w:p>
        </w:tc>
      </w:tr>
      <w:tr>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Q9</w:t>
            </w:r>
          </w:p>
        </w:tc>
        <w:tc>
          <w:tcPr>
            <w:tcW w:type="dxa" w:w="3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Échéance</w:t>
            </w:r>
          </w:p>
        </w:tc>
        <w:tc>
          <w:tcPr>
            <w:tcW w:type="dxa" w:w="5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Aucune date butoir formelle ; mise en ligne au plus tôt (« ASAP ») — le planning prévisionnel sera calé en conséquence</w:t>
            </w:r>
          </w:p>
        </w:tc>
      </w:tr>
    </w:tbl>
    <w:p>
      <w:pPr>
        <w:pStyle w:val="Heading2"/>
        <w:spacing w:after="160" w:before="280"/>
      </w:pPr>
      <w:r>
        <w:rPr>
          <w:rFonts w:ascii="Georgia" w:cs="Georgia" w:eastAsia="Georgia" w:hAnsi="Georgia"/>
          <w:b/>
          <w:bCs/>
          <w:color w:val="4F46E5"/>
          <w:sz w:val="25"/>
          <w:szCs w:val="25"/>
        </w:rPr>
        <w:t xml:space="preserve">7.1 Arbitrages complémentaires du 15 juillet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60"/>
        <w:gridCol w:w="5600"/>
      </w:tblGrid>
      <w:tr>
        <w:trPr>
          <w:tblHeader/>
        </w:trPr>
        <w:tc>
          <w:tcPr>
            <w:tcW w:type="dxa" w:w="7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N°</w:t>
            </w:r>
          </w:p>
        </w:tc>
        <w:tc>
          <w:tcPr>
            <w:tcW w:type="dxa" w:w="306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Point</w:t>
            </w:r>
          </w:p>
        </w:tc>
        <w:tc>
          <w:tcPr>
            <w:tcW w:type="dxa" w:w="5600"/>
            <w:shd w:fill="1F3864" w:val="clear"/>
            <w:tcMar>
              <w:top w:type="dxa" w:w="60"/>
              <w:left w:type="dxa" w:w="100"/>
              <w:bottom w:type="dxa" w:w="60"/>
              <w:right w:type="dxa" w:w="100"/>
            </w:tcMar>
          </w:tcPr>
          <w:p>
            <w:pPr>
              <w:spacing w:after="40" w:before="40"/>
              <w:jc w:val="left"/>
            </w:pPr>
            <w:r>
              <w:rPr>
                <w:rFonts w:ascii="Calibri" w:cs="Calibri" w:eastAsia="Calibri" w:hAnsi="Calibri"/>
                <w:b/>
                <w:bCs/>
                <w:color w:val="FFFFFF"/>
                <w:sz w:val="20"/>
                <w:szCs w:val="20"/>
              </w:rPr>
              <w:t xml:space="preserve">Décision retenue</w:t>
            </w:r>
          </w:p>
        </w:tc>
      </w:tr>
      <w:tr>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Q10</w:t>
            </w:r>
          </w:p>
        </w:tc>
        <w:tc>
          <w:tcPr>
            <w:tcW w:type="dxa" w:w="3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Catalogue de formations</w:t>
            </w:r>
          </w:p>
        </w:tc>
        <w:tc>
          <w:tcPr>
            <w:tcW w:type="dxa" w:w="5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Remplacement par le tableau de correspondances : 23 formations présentielles (11 BTS, 6 Bachelors, 6 Mastères) ; PGE et e-learning exclus</w:t>
            </w:r>
          </w:p>
        </w:tc>
      </w:tr>
      <w:tr>
        <w:tc>
          <w:tcPr>
            <w:tcW w:type="dxa" w:w="7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Q11</w:t>
            </w:r>
          </w:p>
        </w:tc>
        <w:tc>
          <w:tcPr>
            <w:tcW w:type="dxa" w:w="30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Niveau visé</w:t>
            </w:r>
          </w:p>
        </w:tc>
        <w:tc>
          <w:tcPr>
            <w:tcW w:type="dxa" w:w="56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Écran dédié en début de parcours (« Tu veux faire… un BTS / un Bachelor / un Mastère ») ; la recommandation affichée et enregistrée correspond au niveau choisi</w:t>
            </w:r>
          </w:p>
        </w:tc>
      </w:tr>
      <w:tr>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Q12</w:t>
            </w:r>
          </w:p>
        </w:tc>
        <w:tc>
          <w:tcPr>
            <w:tcW w:type="dxa" w:w="3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Noms des profils individuels</w:t>
            </w:r>
          </w:p>
        </w:tc>
        <w:tc>
          <w:tcPr>
            <w:tcW w:type="dxa" w:w="5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Nouveaux noms définis dans la maquette v2 (Digital Native, Game Changer, The Deal, The Founder, Storyteller, World Player, The Captain, All-Terrain, Wild Card, Data Mind) ; les 17 profils combinés sont inchangés — 27 profils au total</w:t>
            </w:r>
          </w:p>
        </w:tc>
      </w:tr>
      <w:tr>
        <w:tc>
          <w:tcPr>
            <w:tcW w:type="dxa" w:w="7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Q13</w:t>
            </w:r>
          </w:p>
        </w:tc>
        <w:tc>
          <w:tcPr>
            <w:tcW w:type="dxa" w:w="30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Correspondances à alternatives (« ou »)</w:t>
            </w:r>
          </w:p>
        </w:tc>
        <w:tc>
          <w:tcPr>
            <w:tcW w:type="dxa" w:w="56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La première formation listée constitue la recommandation principale, affichée et enregistrée dans HubSpot</w:t>
            </w:r>
          </w:p>
        </w:tc>
      </w:tr>
      <w:tr>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Q14</w:t>
            </w:r>
          </w:p>
        </w:tc>
        <w:tc>
          <w:tcPr>
            <w:tcW w:type="dxa" w:w="3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Intitulé du BTS SIO</w:t>
            </w:r>
          </w:p>
        </w:tc>
        <w:tc>
          <w:tcPr>
            <w:tcW w:type="dxa" w:w="5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Intitulé officiel retenu : « Services Informatiques aux Organisations »</w:t>
            </w:r>
          </w:p>
        </w:tc>
      </w:tr>
      <w:tr>
        <w:tc>
          <w:tcPr>
            <w:tcW w:type="dxa" w:w="7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Q15</w:t>
            </w:r>
          </w:p>
        </w:tc>
        <w:tc>
          <w:tcPr>
            <w:tcW w:type="dxa" w:w="306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Propriété « Dimension Dominante Test »</w:t>
            </w:r>
          </w:p>
        </w:tc>
        <w:tc>
          <w:tcPr>
            <w:tcW w:type="dxa" w:w="5600"/>
            <w:shd w:fill="EEF1F8"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Abandonnée à la demande du commanditaire ; seuls profil_test et formation_reco_test portent le résultat</w:t>
            </w:r>
          </w:p>
        </w:tc>
      </w:tr>
      <w:tr>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Q16</w:t>
            </w:r>
          </w:p>
        </w:tc>
        <w:tc>
          <w:tcPr>
            <w:tcW w:type="dxa" w:w="306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Circuit de validation</w:t>
            </w:r>
          </w:p>
        </w:tc>
        <w:tc>
          <w:tcPr>
            <w:tcW w:type="dxa" w:w="5600"/>
            <w:tcMar>
              <w:top w:type="dxa" w:w="60"/>
              <w:left w:type="dxa" w:w="100"/>
              <w:bottom w:type="dxa" w:w="60"/>
              <w:right w:type="dxa" w:w="100"/>
            </w:tcMar>
          </w:tcPr>
          <w:p>
            <w:pPr>
              <w:spacing w:after="40" w:before="40"/>
              <w:jc w:val="left"/>
            </w:pPr>
            <w:r>
              <w:rPr>
                <w:rFonts w:ascii="Calibri" w:cs="Calibri" w:eastAsia="Calibri" w:hAnsi="Calibri"/>
                <w:b w:val="false"/>
                <w:bCs w:val="false"/>
                <w:color w:val="222222"/>
                <w:sz w:val="20"/>
                <w:szCs w:val="20"/>
              </w:rPr>
              <w:t xml:space="preserve">Validation par le commanditaire uniquement (le périmètre de validation n'inclut pas d'autres relecteurs)</w:t>
            </w:r>
          </w:p>
        </w:tc>
      </w:tr>
    </w:tbl>
    <w:p>
      <w:pPr>
        <w:pStyle w:val="Heading2"/>
        <w:spacing w:after="160" w:before="280"/>
      </w:pPr>
      <w:r>
        <w:rPr>
          <w:rFonts w:ascii="Georgia" w:cs="Georgia" w:eastAsia="Georgia" w:hAnsi="Georgia"/>
          <w:b/>
          <w:bCs/>
          <w:color w:val="4F46E5"/>
          <w:sz w:val="25"/>
          <w:szCs w:val="25"/>
        </w:rPr>
        <w:t xml:space="preserve">7.2 Points restant à traiter</w:t>
      </w:r>
    </w:p>
    <w:p>
      <w:pPr>
        <w:pStyle w:val="ListParagraph"/>
        <w:numPr>
          <w:ilvl w:val="0"/>
          <w:numId w:val="3"/>
        </w:numPr>
        <w:spacing w:after="100" w:line="290"/>
      </w:pPr>
      <w:r>
        <w:rPr>
          <w:rFonts w:ascii="Calibri" w:cs="Calibri" w:eastAsia="Calibri" w:hAnsi="Calibri"/>
          <w:color w:val="222222"/>
          <w:sz w:val="22"/>
          <w:szCs w:val="22"/>
        </w:rPr>
        <w:t xml:space="preserve">Accès du développeur aux soumissions de test dans HubSpot : à organiser avec le Pôle Communication pour la phase de recette.</w:t>
      </w:r>
    </w:p>
    <w:p>
      <w:pPr>
        <w:pStyle w:val="ListParagraph"/>
        <w:numPr>
          <w:ilvl w:val="0"/>
          <w:numId w:val="3"/>
        </w:numPr>
        <w:spacing w:after="100" w:line="290"/>
      </w:pPr>
      <w:r>
        <w:rPr>
          <w:rFonts w:ascii="Calibri" w:cs="Calibri" w:eastAsia="Calibri" w:hAnsi="Calibri"/>
          <w:color w:val="222222"/>
          <w:sz w:val="22"/>
          <w:szCs w:val="22"/>
        </w:rPr>
        <w:t xml:space="preserve">Création des propriétés dans HubSpot par le Pôle Communication, sur la base du document « Propriétés HubSpot Future Profile » (v4) transmis, listes de valeurs incluses.</w:t>
      </w:r>
    </w:p>
    <w:p>
      <w:pPr>
        <w:pStyle w:val="ListParagraph"/>
        <w:numPr>
          <w:ilvl w:val="0"/>
          <w:numId w:val="3"/>
        </w:numPr>
        <w:spacing w:after="100" w:line="290"/>
      </w:pPr>
      <w:r>
        <w:rPr>
          <w:rFonts w:ascii="Calibri" w:cs="Calibri" w:eastAsia="Calibri" w:hAnsi="Calibri"/>
          <w:color w:val="222222"/>
          <w:sz w:val="22"/>
          <w:szCs w:val="22"/>
        </w:rPr>
        <w:t xml:space="preserve">Choix de l'outil de mesure du tunnel (EF-11) et de la gestion des cookies associée : proposition à soumettre en phase de spécification.</w:t>
      </w:r>
    </w:p>
    <w:p>
      <w:r>
        <w:br w:type="page"/>
      </w:r>
    </w:p>
    <w:p>
      <w:pPr>
        <w:pStyle w:val="Heading1"/>
        <w:spacing w:after="200" w:before="360"/>
      </w:pPr>
      <w:r>
        <w:rPr>
          <w:rFonts w:ascii="Georgia" w:cs="Georgia" w:eastAsia="Georgia" w:hAnsi="Georgia"/>
          <w:b/>
          <w:bCs/>
          <w:color w:val="1F3864"/>
          <w:sz w:val="30"/>
          <w:szCs w:val="30"/>
        </w:rPr>
        <w:t xml:space="preserve">8. Validation du document</w:t>
      </w:r>
    </w:p>
    <w:p>
      <w:pPr>
        <w:spacing w:after="160" w:line="300"/>
        <w:jc w:val="both"/>
      </w:pPr>
      <w:r>
        <w:rPr>
          <w:rFonts w:ascii="Calibri" w:cs="Calibri" w:eastAsia="Calibri" w:hAnsi="Calibri"/>
          <w:color w:val="222222"/>
          <w:sz w:val="22"/>
          <w:szCs w:val="22"/>
        </w:rPr>
        <w:t xml:space="preserve">La signature du présent document par le commanditaire vaut validation du périmètre décrit, intégrant ses arbitrages du 8 juillet 2026 consignés au §7. Toute évolution ultérieure du périmètre fera l'objet d'une mise à jour du présent document.</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20"/>
              <w:left w:type="dxa" w:w="160"/>
              <w:bottom w:type="dxa" w:w="120"/>
              <w:right w:type="dxa" w:w="160"/>
            </w:tcMar>
          </w:tcPr>
          <w:p>
            <w:pPr>
              <w:spacing w:after="80"/>
            </w:pPr>
            <w:r>
              <w:rPr>
                <w:rFonts w:ascii="Calibri" w:cs="Calibri" w:eastAsia="Calibri" w:hAnsi="Calibri"/>
                <w:b/>
                <w:bCs/>
                <w:color w:val="1F3864"/>
                <w:sz w:val="22"/>
                <w:szCs w:val="22"/>
              </w:rPr>
              <w:t xml:space="preserve">Pour ITIC Paris</w:t>
            </w:r>
          </w:p>
          <w:p>
            <w:pPr>
              <w:spacing w:after="80"/>
            </w:pPr>
            <w:r>
              <w:rPr>
                <w:rFonts w:ascii="Calibri" w:cs="Calibri" w:eastAsia="Calibri" w:hAnsi="Calibri"/>
                <w:b w:val="false"/>
                <w:bCs w:val="false"/>
                <w:color w:val="222222"/>
                <w:sz w:val="22"/>
                <w:szCs w:val="22"/>
              </w:rPr>
              <w:t xml:space="preserve">Emmanuel LECUGY</w:t>
            </w:r>
          </w:p>
          <w:p>
            <w:pPr>
              <w:spacing w:after="80"/>
            </w:pPr>
            <w:r>
              <w:rPr>
                <w:rFonts w:ascii="Calibri" w:cs="Calibri" w:eastAsia="Calibri" w:hAnsi="Calibri"/>
                <w:b w:val="false"/>
                <w:bCs w:val="false"/>
                <w:color w:val="222222"/>
                <w:sz w:val="22"/>
                <w:szCs w:val="22"/>
              </w:rPr>
              <w:t xml:space="preserve">Directeur de la communication et du marketing</w:t>
            </w:r>
          </w:p>
          <w:p>
            <w:pPr>
              <w:spacing w:after="600"/>
            </w:pPr>
            <w:r>
              <w:rPr>
                <w:rFonts w:ascii="Calibri" w:cs="Calibri" w:eastAsia="Calibri" w:hAnsi="Calibri"/>
                <w:b w:val="false"/>
                <w:bCs w:val="false"/>
                <w:color w:val="222222"/>
                <w:sz w:val="22"/>
                <w:szCs w:val="22"/>
              </w:rPr>
              <w:t xml:space="preserve">Date et signature :</w:t>
            </w:r>
          </w:p>
        </w:tc>
        <w:tc>
          <w:tcPr>
            <w:tcW w:type="dxa" w:w="4680"/>
            <w:tcMar>
              <w:top w:type="dxa" w:w="120"/>
              <w:left w:type="dxa" w:w="160"/>
              <w:bottom w:type="dxa" w:w="120"/>
              <w:right w:type="dxa" w:w="160"/>
            </w:tcMar>
          </w:tcPr>
          <w:p>
            <w:pPr>
              <w:spacing w:after="80"/>
            </w:pPr>
            <w:r>
              <w:rPr>
                <w:rFonts w:ascii="Calibri" w:cs="Calibri" w:eastAsia="Calibri" w:hAnsi="Calibri"/>
                <w:b/>
                <w:bCs/>
                <w:color w:val="1F3864"/>
                <w:sz w:val="22"/>
                <w:szCs w:val="22"/>
              </w:rPr>
              <w:t xml:space="preserve">Pour la réalisation</w:t>
            </w:r>
          </w:p>
          <w:p>
            <w:pPr>
              <w:spacing w:after="80"/>
            </w:pPr>
            <w:r>
              <w:rPr>
                <w:rFonts w:ascii="Calibri" w:cs="Calibri" w:eastAsia="Calibri" w:hAnsi="Calibri"/>
                <w:b w:val="false"/>
                <w:bCs w:val="false"/>
                <w:color w:val="222222"/>
                <w:sz w:val="22"/>
                <w:szCs w:val="22"/>
              </w:rPr>
              <w:t xml:space="preserve">Duorli Réjouis Nebel MASSENGO</w:t>
            </w:r>
          </w:p>
          <w:p>
            <w:pPr>
              <w:spacing w:after="80"/>
            </w:pPr>
            <w:r>
              <w:rPr>
                <w:rFonts w:ascii="Calibri" w:cs="Calibri" w:eastAsia="Calibri" w:hAnsi="Calibri"/>
                <w:b w:val="false"/>
                <w:bCs w:val="false"/>
                <w:color w:val="222222"/>
                <w:sz w:val="22"/>
                <w:szCs w:val="22"/>
              </w:rPr>
              <w:t xml:space="preserve">Développeur Fullstack — Alternant ITIC Paris</w:t>
            </w:r>
          </w:p>
          <w:p>
            <w:pPr>
              <w:spacing w:after="600"/>
            </w:pPr>
            <w:r>
              <w:rPr>
                <w:rFonts w:ascii="Calibri" w:cs="Calibri" w:eastAsia="Calibri" w:hAnsi="Calibri"/>
                <w:b w:val="false"/>
                <w:bCs w:val="false"/>
                <w:color w:val="222222"/>
                <w:sz w:val="22"/>
                <w:szCs w:val="22"/>
              </w:rPr>
              <w:t xml:space="preserve">Date et signature :</w:t>
            </w:r>
          </w:p>
        </w:tc>
      </w:tr>
    </w:tbl>
    <w:sectPr>
      <w:footerReference w:type="default" r:id="rId7"/>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DD" w:sz="4" w:space="4"/>
      </w:pBdr>
      <w:jc w:val="center"/>
    </w:pPr>
    <w:r>
      <w:rPr>
        <w:rFonts w:ascii="Calibri" w:cs="Calibri" w:eastAsia="Calibri" w:hAnsi="Calibri"/>
        <w:color w:val="595959"/>
        <w:sz w:val="17"/>
        <w:szCs w:val="17"/>
      </w:rPr>
      <w:t xml:space="preserve">Cahier des charges — Future Profile · ITIC Paris · v1.3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60" w:before="280"/>
      <w:outlineLvl w:val="1"/>
    </w:pPr>
    <w:rPr>
      <w:rFonts w:ascii="Georgia" w:cs="Georgia" w:eastAsia="Georgia" w:hAnsi="Georgia"/>
      <w:b/>
      <w:bCs/>
      <w:color w:val="4F46E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2026-07-17T08:54:08.354Z</dcterms:created>
  <dcterms:modified xsi:type="dcterms:W3CDTF">2026-07-17T08:54:08.370Z</dcterms:modified>
</cp:coreProperties>
</file>

<file path=docProps/custom.xml><?xml version="1.0" encoding="utf-8"?>
<Properties xmlns="http://schemas.openxmlformats.org/officeDocument/2006/custom-properties" xmlns:vt="http://schemas.openxmlformats.org/officeDocument/2006/docPropsVTypes"/>
</file>