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E2E" w:rsidRDefault="00695E2E" w:rsidP="006375FB">
      <w:pPr>
        <w:pStyle w:val="berschrift1"/>
        <w:spacing w:after="120" w:line="264" w:lineRule="auto"/>
        <w:ind w:left="0"/>
        <w:jc w:val="both"/>
      </w:pPr>
      <w:bookmarkStart w:id="0" w:name="_GoBack"/>
      <w:bookmarkEnd w:id="0"/>
      <w:r>
        <w:rPr>
          <w:color w:val="1E2A78"/>
        </w:rPr>
        <w:t>Group</w:t>
      </w:r>
      <w:r>
        <w:rPr>
          <w:color w:val="1E2A78"/>
          <w:spacing w:val="9"/>
        </w:rPr>
        <w:t xml:space="preserve"> </w:t>
      </w:r>
      <w:r>
        <w:rPr>
          <w:color w:val="1E2A78"/>
          <w:spacing w:val="-2"/>
        </w:rPr>
        <w:t>results</w:t>
      </w:r>
    </w:p>
    <w:p w:rsidR="00695E2E" w:rsidRPr="00FB6933" w:rsidRDefault="00695E2E" w:rsidP="006375FB">
      <w:pPr>
        <w:pStyle w:val="Textkrper"/>
        <w:spacing w:after="120" w:line="264" w:lineRule="auto"/>
        <w:jc w:val="both"/>
      </w:pPr>
      <w:r w:rsidRPr="00FB6933">
        <w:rPr>
          <w:color w:val="555558"/>
        </w:rPr>
        <w:t>Deutsche Bank’s profit before tax of €</w:t>
      </w:r>
      <w:r w:rsidRPr="00FB6933">
        <w:rPr>
          <w:color w:val="555558"/>
          <w:spacing w:val="-2"/>
        </w:rPr>
        <w:t xml:space="preserve"> </w:t>
      </w:r>
      <w:r w:rsidRPr="00FB6933">
        <w:rPr>
          <w:color w:val="555558"/>
        </w:rPr>
        <w:t>2.3</w:t>
      </w:r>
      <w:r w:rsidRPr="00FB6933">
        <w:rPr>
          <w:color w:val="555558"/>
          <w:spacing w:val="-2"/>
        </w:rPr>
        <w:t xml:space="preserve"> </w:t>
      </w:r>
      <w:r w:rsidRPr="00FB6933">
        <w:rPr>
          <w:color w:val="555558"/>
        </w:rPr>
        <w:t>billion for the third quarter of 2024, up 31% year on year. This included a partial release</w:t>
      </w:r>
      <w:r w:rsidRPr="00FB6933">
        <w:rPr>
          <w:color w:val="555558"/>
          <w:spacing w:val="-7"/>
        </w:rPr>
        <w:t xml:space="preserve"> </w:t>
      </w:r>
      <w:r w:rsidRPr="00FB6933">
        <w:rPr>
          <w:color w:val="555558"/>
        </w:rPr>
        <w:t>of</w:t>
      </w:r>
      <w:r w:rsidRPr="00FB6933">
        <w:rPr>
          <w:color w:val="555558"/>
          <w:spacing w:val="-7"/>
        </w:rPr>
        <w:t xml:space="preserve"> </w:t>
      </w:r>
      <w:r w:rsidRPr="00FB6933">
        <w:rPr>
          <w:color w:val="555558"/>
        </w:rPr>
        <w:t>approximately</w:t>
      </w:r>
      <w:r w:rsidRPr="00FB6933">
        <w:rPr>
          <w:color w:val="555558"/>
          <w:spacing w:val="-4"/>
        </w:rPr>
        <w:t xml:space="preserve"> </w:t>
      </w:r>
      <w:r w:rsidRPr="00FB6933">
        <w:rPr>
          <w:color w:val="555558"/>
        </w:rPr>
        <w:t>€</w:t>
      </w:r>
      <w:r w:rsidRPr="00FB6933">
        <w:rPr>
          <w:color w:val="555558"/>
          <w:spacing w:val="-2"/>
        </w:rPr>
        <w:t xml:space="preserve"> </w:t>
      </w:r>
      <w:r w:rsidRPr="00FB6933">
        <w:rPr>
          <w:color w:val="555558"/>
        </w:rPr>
        <w:t>440</w:t>
      </w:r>
      <w:r w:rsidRPr="00FB6933">
        <w:rPr>
          <w:color w:val="555558"/>
          <w:spacing w:val="-4"/>
        </w:rPr>
        <w:t xml:space="preserve"> </w:t>
      </w:r>
      <w:r w:rsidRPr="00FB6933">
        <w:rPr>
          <w:color w:val="555558"/>
        </w:rPr>
        <w:t>million</w:t>
      </w:r>
      <w:r w:rsidRPr="00FB6933">
        <w:rPr>
          <w:color w:val="555558"/>
          <w:spacing w:val="-5"/>
        </w:rPr>
        <w:t xml:space="preserve"> </w:t>
      </w:r>
      <w:r w:rsidRPr="00FB6933">
        <w:rPr>
          <w:color w:val="555558"/>
        </w:rPr>
        <w:t>in</w:t>
      </w:r>
      <w:r w:rsidRPr="00FB6933">
        <w:rPr>
          <w:color w:val="555558"/>
          <w:spacing w:val="-7"/>
        </w:rPr>
        <w:t xml:space="preserve"> </w:t>
      </w:r>
      <w:r w:rsidRPr="00FB6933">
        <w:rPr>
          <w:color w:val="555558"/>
        </w:rPr>
        <w:t>litigation</w:t>
      </w:r>
      <w:r w:rsidRPr="00FB6933">
        <w:rPr>
          <w:color w:val="555558"/>
          <w:spacing w:val="-7"/>
        </w:rPr>
        <w:t xml:space="preserve"> </w:t>
      </w:r>
      <w:r w:rsidRPr="00FB6933">
        <w:rPr>
          <w:color w:val="555558"/>
        </w:rPr>
        <w:t>provisions</w:t>
      </w:r>
      <w:r w:rsidRPr="00FB6933">
        <w:rPr>
          <w:color w:val="555558"/>
          <w:spacing w:val="-7"/>
        </w:rPr>
        <w:t xml:space="preserve"> </w:t>
      </w:r>
      <w:r w:rsidRPr="00FB6933">
        <w:rPr>
          <w:color w:val="555558"/>
        </w:rPr>
        <w:t>driven</w:t>
      </w:r>
      <w:r w:rsidRPr="00FB6933">
        <w:rPr>
          <w:color w:val="555558"/>
          <w:spacing w:val="-7"/>
        </w:rPr>
        <w:t xml:space="preserve"> </w:t>
      </w:r>
      <w:r w:rsidRPr="00FB6933">
        <w:rPr>
          <w:color w:val="555558"/>
        </w:rPr>
        <w:t>by</w:t>
      </w:r>
      <w:r w:rsidRPr="00FB6933">
        <w:rPr>
          <w:color w:val="555558"/>
          <w:spacing w:val="-7"/>
        </w:rPr>
        <w:t xml:space="preserve"> </w:t>
      </w:r>
      <w:r w:rsidRPr="00FB6933">
        <w:rPr>
          <w:color w:val="555558"/>
        </w:rPr>
        <w:t>progress</w:t>
      </w:r>
      <w:r w:rsidRPr="00FB6933">
        <w:rPr>
          <w:color w:val="555558"/>
          <w:spacing w:val="-7"/>
        </w:rPr>
        <w:t xml:space="preserve"> </w:t>
      </w:r>
      <w:r w:rsidRPr="00FB6933">
        <w:rPr>
          <w:color w:val="555558"/>
        </w:rPr>
        <w:t>on</w:t>
      </w:r>
      <w:r w:rsidRPr="00FB6933">
        <w:rPr>
          <w:color w:val="555558"/>
          <w:spacing w:val="-7"/>
        </w:rPr>
        <w:t xml:space="preserve"> </w:t>
      </w:r>
      <w:r w:rsidRPr="00FB6933">
        <w:rPr>
          <w:color w:val="555558"/>
        </w:rPr>
        <w:t>settlements</w:t>
      </w:r>
      <w:r w:rsidRPr="00FB6933">
        <w:rPr>
          <w:color w:val="555558"/>
          <w:spacing w:val="-7"/>
        </w:rPr>
        <w:t xml:space="preserve"> </w:t>
      </w:r>
      <w:r w:rsidRPr="00FB6933">
        <w:rPr>
          <w:color w:val="555558"/>
        </w:rPr>
        <w:t>relating</w:t>
      </w:r>
      <w:r w:rsidRPr="00FB6933">
        <w:rPr>
          <w:color w:val="555558"/>
          <w:spacing w:val="-7"/>
        </w:rPr>
        <w:t xml:space="preserve"> </w:t>
      </w:r>
      <w:r w:rsidRPr="00FB6933">
        <w:rPr>
          <w:color w:val="555558"/>
        </w:rPr>
        <w:t>to</w:t>
      </w:r>
      <w:r w:rsidRPr="00FB6933">
        <w:rPr>
          <w:color w:val="555558"/>
          <w:spacing w:val="-7"/>
        </w:rPr>
        <w:t xml:space="preserve"> </w:t>
      </w:r>
      <w:r w:rsidRPr="00FB6933">
        <w:rPr>
          <w:color w:val="555558"/>
        </w:rPr>
        <w:t>the</w:t>
      </w:r>
      <w:r w:rsidRPr="00FB6933">
        <w:rPr>
          <w:color w:val="555558"/>
          <w:spacing w:val="-7"/>
        </w:rPr>
        <w:t xml:space="preserve"> </w:t>
      </w:r>
      <w:r w:rsidRPr="00FB6933">
        <w:rPr>
          <w:color w:val="555558"/>
        </w:rPr>
        <w:t>bank’s</w:t>
      </w:r>
      <w:r w:rsidRPr="00FB6933">
        <w:rPr>
          <w:color w:val="555558"/>
          <w:spacing w:val="-7"/>
        </w:rPr>
        <w:t xml:space="preserve"> </w:t>
      </w:r>
      <w:r w:rsidRPr="00FB6933">
        <w:rPr>
          <w:color w:val="555558"/>
        </w:rPr>
        <w:t>takeover of</w:t>
      </w:r>
      <w:r w:rsidRPr="00FB6933">
        <w:rPr>
          <w:color w:val="555558"/>
          <w:spacing w:val="-6"/>
        </w:rPr>
        <w:t xml:space="preserve"> </w:t>
      </w:r>
      <w:r w:rsidRPr="00FB6933">
        <w:rPr>
          <w:color w:val="555558"/>
        </w:rPr>
        <w:t>Postbank</w:t>
      </w:r>
      <w:r w:rsidRPr="00FB6933">
        <w:rPr>
          <w:color w:val="555558"/>
          <w:spacing w:val="-5"/>
        </w:rPr>
        <w:t xml:space="preserve"> </w:t>
      </w:r>
      <w:r w:rsidRPr="00FB6933">
        <w:rPr>
          <w:color w:val="555558"/>
        </w:rPr>
        <w:t>AG.</w:t>
      </w:r>
      <w:r w:rsidRPr="00FB6933">
        <w:rPr>
          <w:color w:val="555558"/>
          <w:spacing w:val="-6"/>
        </w:rPr>
        <w:t xml:space="preserve"> </w:t>
      </w:r>
      <w:r w:rsidRPr="00FB6933">
        <w:rPr>
          <w:color w:val="555558"/>
        </w:rPr>
        <w:t>Excluding</w:t>
      </w:r>
      <w:r w:rsidRPr="00FB6933">
        <w:rPr>
          <w:color w:val="555558"/>
          <w:spacing w:val="-8"/>
        </w:rPr>
        <w:t xml:space="preserve"> </w:t>
      </w:r>
      <w:r w:rsidRPr="00FB6933">
        <w:rPr>
          <w:color w:val="555558"/>
        </w:rPr>
        <w:t>the</w:t>
      </w:r>
      <w:r w:rsidRPr="00FB6933">
        <w:rPr>
          <w:color w:val="555558"/>
          <w:spacing w:val="-5"/>
        </w:rPr>
        <w:t xml:space="preserve"> </w:t>
      </w:r>
      <w:r w:rsidRPr="00FB6933">
        <w:rPr>
          <w:color w:val="555558"/>
        </w:rPr>
        <w:t>Postbank</w:t>
      </w:r>
      <w:r w:rsidRPr="00FB6933">
        <w:rPr>
          <w:color w:val="555558"/>
          <w:spacing w:val="-5"/>
        </w:rPr>
        <w:t xml:space="preserve"> </w:t>
      </w:r>
      <w:r w:rsidRPr="00FB6933">
        <w:rPr>
          <w:color w:val="555558"/>
        </w:rPr>
        <w:t>litigation</w:t>
      </w:r>
      <w:r w:rsidRPr="00FB6933">
        <w:rPr>
          <w:color w:val="555558"/>
          <w:spacing w:val="-8"/>
        </w:rPr>
        <w:t xml:space="preserve"> </w:t>
      </w:r>
      <w:r w:rsidRPr="00FB6933">
        <w:rPr>
          <w:color w:val="555558"/>
        </w:rPr>
        <w:t>release,</w:t>
      </w:r>
      <w:r w:rsidRPr="00FB6933">
        <w:rPr>
          <w:color w:val="555558"/>
          <w:spacing w:val="-8"/>
        </w:rPr>
        <w:t xml:space="preserve"> </w:t>
      </w:r>
      <w:r w:rsidRPr="00FB6933">
        <w:rPr>
          <w:color w:val="555558"/>
        </w:rPr>
        <w:t>profit</w:t>
      </w:r>
      <w:r w:rsidRPr="00FB6933">
        <w:rPr>
          <w:color w:val="555558"/>
          <w:spacing w:val="-11"/>
        </w:rPr>
        <w:t xml:space="preserve"> </w:t>
      </w:r>
      <w:r w:rsidRPr="00FB6933">
        <w:rPr>
          <w:color w:val="555558"/>
        </w:rPr>
        <w:t>before</w:t>
      </w:r>
      <w:r w:rsidRPr="00FB6933">
        <w:rPr>
          <w:color w:val="555558"/>
          <w:spacing w:val="-8"/>
        </w:rPr>
        <w:t xml:space="preserve"> </w:t>
      </w:r>
      <w:r w:rsidRPr="00FB6933">
        <w:rPr>
          <w:color w:val="555558"/>
        </w:rPr>
        <w:t>tax</w:t>
      </w:r>
      <w:r w:rsidRPr="00FB6933">
        <w:rPr>
          <w:color w:val="555558"/>
          <w:spacing w:val="-5"/>
        </w:rPr>
        <w:t xml:space="preserve"> </w:t>
      </w:r>
      <w:r w:rsidRPr="00FB6933">
        <w:rPr>
          <w:color w:val="555558"/>
        </w:rPr>
        <w:t>was €</w:t>
      </w:r>
      <w:r w:rsidRPr="00FB6933">
        <w:rPr>
          <w:color w:val="555558"/>
          <w:spacing w:val="-4"/>
        </w:rPr>
        <w:t xml:space="preserve"> </w:t>
      </w:r>
      <w:r w:rsidRPr="00FB6933">
        <w:rPr>
          <w:color w:val="555558"/>
        </w:rPr>
        <w:t>1.8</w:t>
      </w:r>
      <w:r w:rsidRPr="00FB6933">
        <w:rPr>
          <w:color w:val="555558"/>
          <w:spacing w:val="-4"/>
        </w:rPr>
        <w:t xml:space="preserve"> </w:t>
      </w:r>
      <w:r w:rsidRPr="00FB6933">
        <w:rPr>
          <w:color w:val="555558"/>
        </w:rPr>
        <w:t>billion,</w:t>
      </w:r>
      <w:r w:rsidRPr="00FB6933">
        <w:rPr>
          <w:color w:val="555558"/>
          <w:spacing w:val="-6"/>
        </w:rPr>
        <w:t xml:space="preserve"> </w:t>
      </w:r>
      <w:r w:rsidRPr="00FB6933">
        <w:rPr>
          <w:color w:val="555558"/>
        </w:rPr>
        <w:t>up</w:t>
      </w:r>
      <w:r w:rsidRPr="00FB6933">
        <w:rPr>
          <w:color w:val="555558"/>
          <w:spacing w:val="-8"/>
        </w:rPr>
        <w:t xml:space="preserve"> </w:t>
      </w:r>
      <w:r w:rsidRPr="00FB6933">
        <w:rPr>
          <w:color w:val="555558"/>
        </w:rPr>
        <w:t>6%,</w:t>
      </w:r>
      <w:r w:rsidRPr="00FB6933">
        <w:rPr>
          <w:color w:val="555558"/>
          <w:spacing w:val="-6"/>
        </w:rPr>
        <w:t xml:space="preserve"> </w:t>
      </w:r>
      <w:r w:rsidRPr="00FB6933">
        <w:rPr>
          <w:color w:val="555558"/>
        </w:rPr>
        <w:t>compared</w:t>
      </w:r>
      <w:r w:rsidRPr="00FB6933">
        <w:rPr>
          <w:color w:val="555558"/>
          <w:spacing w:val="-5"/>
        </w:rPr>
        <w:t xml:space="preserve"> </w:t>
      </w:r>
      <w:r w:rsidRPr="00FB6933">
        <w:rPr>
          <w:color w:val="555558"/>
        </w:rPr>
        <w:t>to</w:t>
      </w:r>
      <w:r w:rsidRPr="00FB6933">
        <w:rPr>
          <w:color w:val="555558"/>
          <w:spacing w:val="-8"/>
        </w:rPr>
        <w:t xml:space="preserve"> </w:t>
      </w:r>
      <w:r w:rsidRPr="00FB6933">
        <w:rPr>
          <w:color w:val="555558"/>
        </w:rPr>
        <w:t>profit</w:t>
      </w:r>
      <w:r w:rsidRPr="00FB6933">
        <w:rPr>
          <w:color w:val="555558"/>
          <w:spacing w:val="-8"/>
        </w:rPr>
        <w:t xml:space="preserve"> </w:t>
      </w:r>
      <w:r w:rsidRPr="00FB6933">
        <w:rPr>
          <w:color w:val="555558"/>
        </w:rPr>
        <w:t>before tax</w:t>
      </w:r>
      <w:r w:rsidRPr="00FB6933">
        <w:rPr>
          <w:color w:val="555558"/>
          <w:spacing w:val="-4"/>
        </w:rPr>
        <w:t xml:space="preserve"> </w:t>
      </w:r>
      <w:r w:rsidRPr="00FB6933">
        <w:rPr>
          <w:color w:val="555558"/>
        </w:rPr>
        <w:t>of</w:t>
      </w:r>
      <w:r w:rsidRPr="00FB6933">
        <w:rPr>
          <w:color w:val="555558"/>
          <w:spacing w:val="-5"/>
        </w:rPr>
        <w:t xml:space="preserve"> </w:t>
      </w:r>
      <w:r w:rsidRPr="00FB6933">
        <w:rPr>
          <w:color w:val="555558"/>
        </w:rPr>
        <w:t>€</w:t>
      </w:r>
      <w:r w:rsidRPr="00FB6933">
        <w:rPr>
          <w:color w:val="555558"/>
          <w:spacing w:val="-2"/>
        </w:rPr>
        <w:t xml:space="preserve"> </w:t>
      </w:r>
      <w:r w:rsidRPr="00FB6933">
        <w:rPr>
          <w:color w:val="555558"/>
        </w:rPr>
        <w:t>1.7</w:t>
      </w:r>
      <w:r w:rsidRPr="00FB6933">
        <w:rPr>
          <w:color w:val="555558"/>
          <w:spacing w:val="-2"/>
        </w:rPr>
        <w:t xml:space="preserve"> </w:t>
      </w:r>
      <w:r w:rsidRPr="00FB6933">
        <w:rPr>
          <w:color w:val="555558"/>
        </w:rPr>
        <w:t>billion</w:t>
      </w:r>
      <w:r w:rsidRPr="00FB6933">
        <w:rPr>
          <w:color w:val="555558"/>
          <w:spacing w:val="-6"/>
        </w:rPr>
        <w:t xml:space="preserve"> </w:t>
      </w:r>
      <w:r w:rsidRPr="00FB6933">
        <w:rPr>
          <w:color w:val="555558"/>
        </w:rPr>
        <w:t>in</w:t>
      </w:r>
      <w:r w:rsidRPr="00FB6933">
        <w:rPr>
          <w:color w:val="555558"/>
          <w:spacing w:val="-4"/>
        </w:rPr>
        <w:t xml:space="preserve"> </w:t>
      </w:r>
      <w:r w:rsidRPr="00FB6933">
        <w:rPr>
          <w:color w:val="555558"/>
        </w:rPr>
        <w:t>the</w:t>
      </w:r>
      <w:r w:rsidRPr="00FB6933">
        <w:rPr>
          <w:color w:val="555558"/>
          <w:spacing w:val="-7"/>
        </w:rPr>
        <w:t xml:space="preserve"> </w:t>
      </w:r>
      <w:r w:rsidRPr="00FB6933">
        <w:rPr>
          <w:color w:val="555558"/>
        </w:rPr>
        <w:t>third</w:t>
      </w:r>
      <w:r w:rsidRPr="00FB6933">
        <w:rPr>
          <w:color w:val="555558"/>
          <w:spacing w:val="-4"/>
        </w:rPr>
        <w:t xml:space="preserve"> </w:t>
      </w:r>
      <w:r w:rsidRPr="00FB6933">
        <w:rPr>
          <w:color w:val="555558"/>
        </w:rPr>
        <w:t>quarter</w:t>
      </w:r>
      <w:r w:rsidRPr="00FB6933">
        <w:rPr>
          <w:color w:val="555558"/>
          <w:spacing w:val="-7"/>
        </w:rPr>
        <w:t xml:space="preserve"> </w:t>
      </w:r>
      <w:r w:rsidRPr="00FB6933">
        <w:rPr>
          <w:color w:val="555558"/>
        </w:rPr>
        <w:t>of</w:t>
      </w:r>
      <w:r w:rsidRPr="00FB6933">
        <w:rPr>
          <w:color w:val="555558"/>
          <w:spacing w:val="-5"/>
        </w:rPr>
        <w:t xml:space="preserve"> </w:t>
      </w:r>
      <w:r w:rsidRPr="00FB6933">
        <w:rPr>
          <w:color w:val="555558"/>
        </w:rPr>
        <w:t>2023</w:t>
      </w:r>
      <w:r w:rsidRPr="00FB6933">
        <w:rPr>
          <w:color w:val="555558"/>
          <w:spacing w:val="-7"/>
        </w:rPr>
        <w:t xml:space="preserve"> </w:t>
      </w:r>
      <w:r w:rsidRPr="00FB6933">
        <w:rPr>
          <w:color w:val="555558"/>
        </w:rPr>
        <w:t>and</w:t>
      </w:r>
      <w:r w:rsidRPr="00FB6933">
        <w:rPr>
          <w:color w:val="555558"/>
          <w:spacing w:val="-7"/>
        </w:rPr>
        <w:t xml:space="preserve"> </w:t>
      </w:r>
      <w:r w:rsidRPr="00FB6933">
        <w:rPr>
          <w:color w:val="555558"/>
        </w:rPr>
        <w:t>a</w:t>
      </w:r>
      <w:r w:rsidRPr="00FB6933">
        <w:rPr>
          <w:color w:val="555558"/>
          <w:spacing w:val="-7"/>
        </w:rPr>
        <w:t xml:space="preserve"> </w:t>
      </w:r>
      <w:r w:rsidRPr="00FB6933">
        <w:rPr>
          <w:color w:val="555558"/>
        </w:rPr>
        <w:t>third-quarter</w:t>
      </w:r>
      <w:r w:rsidRPr="00FB6933">
        <w:rPr>
          <w:color w:val="555558"/>
          <w:spacing w:val="-10"/>
        </w:rPr>
        <w:t xml:space="preserve"> </w:t>
      </w:r>
      <w:r w:rsidRPr="00FB6933">
        <w:rPr>
          <w:color w:val="555558"/>
        </w:rPr>
        <w:t>record.</w:t>
      </w:r>
      <w:r w:rsidRPr="00FB6933">
        <w:rPr>
          <w:color w:val="555558"/>
          <w:spacing w:val="-5"/>
        </w:rPr>
        <w:t xml:space="preserve"> </w:t>
      </w:r>
      <w:r w:rsidRPr="00FB6933">
        <w:rPr>
          <w:color w:val="555558"/>
        </w:rPr>
        <w:t>Post-tax</w:t>
      </w:r>
      <w:r w:rsidRPr="00FB6933">
        <w:rPr>
          <w:color w:val="555558"/>
          <w:spacing w:val="-7"/>
        </w:rPr>
        <w:t xml:space="preserve"> </w:t>
      </w:r>
      <w:r w:rsidRPr="00FB6933">
        <w:rPr>
          <w:color w:val="555558"/>
        </w:rPr>
        <w:t>profit</w:t>
      </w:r>
      <w:r w:rsidRPr="00FB6933">
        <w:rPr>
          <w:color w:val="555558"/>
          <w:spacing w:val="-5"/>
        </w:rPr>
        <w:t xml:space="preserve"> </w:t>
      </w:r>
      <w:r w:rsidRPr="00FB6933">
        <w:rPr>
          <w:color w:val="555558"/>
        </w:rPr>
        <w:t>was</w:t>
      </w:r>
      <w:r w:rsidRPr="00FB6933">
        <w:rPr>
          <w:color w:val="555558"/>
          <w:spacing w:val="-6"/>
        </w:rPr>
        <w:t xml:space="preserve"> </w:t>
      </w:r>
      <w:r w:rsidRPr="00FB6933">
        <w:rPr>
          <w:color w:val="555558"/>
        </w:rPr>
        <w:t>€</w:t>
      </w:r>
      <w:r w:rsidRPr="00FB6933">
        <w:rPr>
          <w:color w:val="555558"/>
          <w:spacing w:val="-2"/>
        </w:rPr>
        <w:t xml:space="preserve"> </w:t>
      </w:r>
      <w:r w:rsidRPr="00FB6933">
        <w:rPr>
          <w:color w:val="555558"/>
        </w:rPr>
        <w:t>1.7</w:t>
      </w:r>
      <w:r w:rsidRPr="00FB6933">
        <w:rPr>
          <w:color w:val="555558"/>
          <w:spacing w:val="-2"/>
        </w:rPr>
        <w:t xml:space="preserve"> </w:t>
      </w:r>
      <w:r w:rsidRPr="00FB6933">
        <w:rPr>
          <w:color w:val="555558"/>
        </w:rPr>
        <w:t>billion,</w:t>
      </w:r>
      <w:r w:rsidRPr="00FB6933">
        <w:rPr>
          <w:color w:val="555558"/>
          <w:spacing w:val="-7"/>
        </w:rPr>
        <w:t xml:space="preserve"> </w:t>
      </w:r>
      <w:r w:rsidRPr="00FB6933">
        <w:rPr>
          <w:color w:val="555558"/>
        </w:rPr>
        <w:t>up</w:t>
      </w:r>
      <w:r w:rsidRPr="00FB6933">
        <w:rPr>
          <w:color w:val="555558"/>
          <w:spacing w:val="-4"/>
        </w:rPr>
        <w:t xml:space="preserve"> </w:t>
      </w:r>
      <w:r w:rsidRPr="00FB6933">
        <w:rPr>
          <w:color w:val="555558"/>
        </w:rPr>
        <w:t>39%</w:t>
      </w:r>
      <w:r w:rsidRPr="00FB6933">
        <w:rPr>
          <w:color w:val="555558"/>
          <w:spacing w:val="-8"/>
        </w:rPr>
        <w:t xml:space="preserve"> </w:t>
      </w:r>
      <w:r w:rsidRPr="00FB6933">
        <w:rPr>
          <w:color w:val="555558"/>
        </w:rPr>
        <w:t>year</w:t>
      </w:r>
      <w:r w:rsidRPr="00FB6933">
        <w:rPr>
          <w:color w:val="555558"/>
          <w:spacing w:val="-7"/>
        </w:rPr>
        <w:t xml:space="preserve"> </w:t>
      </w:r>
      <w:r w:rsidRPr="00FB6933">
        <w:rPr>
          <w:color w:val="555558"/>
        </w:rPr>
        <w:t>on</w:t>
      </w:r>
      <w:r w:rsidRPr="00FB6933">
        <w:rPr>
          <w:color w:val="555558"/>
          <w:spacing w:val="-7"/>
        </w:rPr>
        <w:t xml:space="preserve"> </w:t>
      </w:r>
      <w:r w:rsidRPr="00FB6933">
        <w:rPr>
          <w:color w:val="555558"/>
        </w:rPr>
        <w:t>year, or €</w:t>
      </w:r>
      <w:r w:rsidRPr="00FB6933">
        <w:rPr>
          <w:color w:val="555558"/>
          <w:spacing w:val="-2"/>
        </w:rPr>
        <w:t xml:space="preserve"> </w:t>
      </w:r>
      <w:r w:rsidRPr="00FB6933">
        <w:rPr>
          <w:color w:val="555558"/>
        </w:rPr>
        <w:t>1.3</w:t>
      </w:r>
      <w:r w:rsidRPr="00FB6933">
        <w:rPr>
          <w:color w:val="555558"/>
          <w:spacing w:val="-2"/>
        </w:rPr>
        <w:t xml:space="preserve"> </w:t>
      </w:r>
      <w:r w:rsidRPr="00FB6933">
        <w:rPr>
          <w:color w:val="555558"/>
        </w:rPr>
        <w:t>billion excluding the Postbank litigation release, up 8%, compared to post-tax profit of €</w:t>
      </w:r>
      <w:r w:rsidRPr="00FB6933">
        <w:rPr>
          <w:color w:val="555558"/>
          <w:spacing w:val="-2"/>
        </w:rPr>
        <w:t xml:space="preserve"> </w:t>
      </w:r>
      <w:r w:rsidRPr="00FB6933">
        <w:rPr>
          <w:color w:val="555558"/>
        </w:rPr>
        <w:t>1.2</w:t>
      </w:r>
      <w:r w:rsidRPr="00FB6933">
        <w:rPr>
          <w:color w:val="555558"/>
          <w:spacing w:val="-2"/>
        </w:rPr>
        <w:t xml:space="preserve"> </w:t>
      </w:r>
      <w:r w:rsidRPr="00FB6933">
        <w:rPr>
          <w:color w:val="555558"/>
        </w:rPr>
        <w:t xml:space="preserve">billion in the prior year </w:t>
      </w:r>
      <w:r w:rsidRPr="00FB6933">
        <w:rPr>
          <w:color w:val="555558"/>
          <w:spacing w:val="-2"/>
        </w:rPr>
        <w:t>quarter.</w:t>
      </w:r>
    </w:p>
    <w:p w:rsidR="00695E2E" w:rsidRDefault="00695E2E" w:rsidP="006375FB">
      <w:pPr>
        <w:pStyle w:val="Textkrper"/>
        <w:spacing w:after="120" w:line="264" w:lineRule="auto"/>
        <w:jc w:val="both"/>
      </w:pPr>
      <w:r w:rsidRPr="00FB6933">
        <w:rPr>
          <w:color w:val="555558"/>
        </w:rPr>
        <w:t>Third quarter post-tax return on average shareholders’ equity (</w:t>
      </w:r>
      <w:proofErr w:type="spellStart"/>
      <w:r w:rsidRPr="00FB6933">
        <w:rPr>
          <w:color w:val="555558"/>
        </w:rPr>
        <w:t>RoE</w:t>
      </w:r>
      <w:proofErr w:type="spellEnd"/>
      <w:r w:rsidRPr="00FB6933">
        <w:rPr>
          <w:color w:val="555558"/>
        </w:rPr>
        <w:t>) was 9.1%, compared to 6.5% in the prior year quarter. Post-tax return on average tangible shareholders’ equity (</w:t>
      </w:r>
      <w:proofErr w:type="spellStart"/>
      <w:r w:rsidRPr="00FB6933">
        <w:rPr>
          <w:color w:val="555558"/>
        </w:rPr>
        <w:t>RoTE</w:t>
      </w:r>
      <w:proofErr w:type="spellEnd"/>
      <w:r w:rsidRPr="00FB6933">
        <w:rPr>
          <w:color w:val="555558"/>
        </w:rPr>
        <w:t>) was 10.2%, or 7.6% if adjusted for the Postbank litigation release,</w:t>
      </w:r>
      <w:r w:rsidRPr="00FB6933">
        <w:rPr>
          <w:color w:val="555558"/>
          <w:spacing w:val="-4"/>
        </w:rPr>
        <w:t xml:space="preserve"> </w:t>
      </w:r>
      <w:r w:rsidRPr="00FB6933">
        <w:rPr>
          <w:color w:val="555558"/>
        </w:rPr>
        <w:t>up</w:t>
      </w:r>
      <w:r w:rsidRPr="00FB6933">
        <w:rPr>
          <w:color w:val="555558"/>
          <w:spacing w:val="-3"/>
        </w:rPr>
        <w:t xml:space="preserve"> </w:t>
      </w:r>
      <w:r w:rsidRPr="00FB6933">
        <w:rPr>
          <w:color w:val="555558"/>
        </w:rPr>
        <w:t>from</w:t>
      </w:r>
      <w:r w:rsidRPr="00FB6933">
        <w:rPr>
          <w:color w:val="555558"/>
          <w:spacing w:val="-2"/>
        </w:rPr>
        <w:t xml:space="preserve"> </w:t>
      </w:r>
      <w:proofErr w:type="spellStart"/>
      <w:r w:rsidRPr="00FB6933">
        <w:rPr>
          <w:color w:val="555558"/>
        </w:rPr>
        <w:t>RoTE</w:t>
      </w:r>
      <w:proofErr w:type="spellEnd"/>
      <w:r w:rsidRPr="00FB6933">
        <w:rPr>
          <w:color w:val="555558"/>
          <w:spacing w:val="-5"/>
        </w:rPr>
        <w:t xml:space="preserve"> </w:t>
      </w:r>
      <w:r w:rsidRPr="00FB6933">
        <w:rPr>
          <w:color w:val="555558"/>
        </w:rPr>
        <w:t>of</w:t>
      </w:r>
      <w:r w:rsidRPr="00FB6933">
        <w:rPr>
          <w:color w:val="555558"/>
          <w:spacing w:val="-4"/>
        </w:rPr>
        <w:t xml:space="preserve"> </w:t>
      </w:r>
      <w:r w:rsidRPr="00FB6933">
        <w:rPr>
          <w:color w:val="555558"/>
        </w:rPr>
        <w:t>7.3%</w:t>
      </w:r>
      <w:r w:rsidRPr="00FB6933">
        <w:rPr>
          <w:color w:val="555558"/>
          <w:spacing w:val="-2"/>
        </w:rPr>
        <w:t xml:space="preserve"> </w:t>
      </w:r>
      <w:r w:rsidRPr="00FB6933">
        <w:rPr>
          <w:color w:val="555558"/>
        </w:rPr>
        <w:t>in</w:t>
      </w:r>
      <w:r w:rsidRPr="00FB6933">
        <w:rPr>
          <w:color w:val="555558"/>
          <w:spacing w:val="-1"/>
        </w:rPr>
        <w:t xml:space="preserve"> </w:t>
      </w:r>
      <w:r w:rsidRPr="00FB6933">
        <w:rPr>
          <w:color w:val="555558"/>
        </w:rPr>
        <w:t>the</w:t>
      </w:r>
      <w:r w:rsidRPr="00FB6933">
        <w:rPr>
          <w:color w:val="555558"/>
          <w:spacing w:val="-3"/>
        </w:rPr>
        <w:t xml:space="preserve"> </w:t>
      </w:r>
      <w:r w:rsidRPr="00FB6933">
        <w:rPr>
          <w:color w:val="555558"/>
        </w:rPr>
        <w:t>prior</w:t>
      </w:r>
      <w:r w:rsidRPr="00FB6933">
        <w:rPr>
          <w:color w:val="555558"/>
          <w:spacing w:val="-1"/>
        </w:rPr>
        <w:t xml:space="preserve"> </w:t>
      </w:r>
      <w:r w:rsidRPr="00FB6933">
        <w:rPr>
          <w:color w:val="555558"/>
        </w:rPr>
        <w:t>year</w:t>
      </w:r>
      <w:r w:rsidRPr="00FB6933">
        <w:rPr>
          <w:color w:val="555558"/>
          <w:spacing w:val="-1"/>
        </w:rPr>
        <w:t xml:space="preserve"> </w:t>
      </w:r>
      <w:r w:rsidRPr="00FB6933">
        <w:rPr>
          <w:color w:val="555558"/>
        </w:rPr>
        <w:t>quarter.</w:t>
      </w:r>
      <w:r w:rsidRPr="00FB6933">
        <w:rPr>
          <w:color w:val="555558"/>
          <w:spacing w:val="-1"/>
        </w:rPr>
        <w:t xml:space="preserve"> </w:t>
      </w:r>
      <w:r w:rsidRPr="00FB6933">
        <w:rPr>
          <w:color w:val="555558"/>
        </w:rPr>
        <w:t>The</w:t>
      </w:r>
      <w:r w:rsidRPr="00FB6933">
        <w:rPr>
          <w:color w:val="555558"/>
          <w:spacing w:val="-3"/>
        </w:rPr>
        <w:t xml:space="preserve"> </w:t>
      </w:r>
      <w:r w:rsidRPr="00FB6933">
        <w:rPr>
          <w:color w:val="555558"/>
        </w:rPr>
        <w:t>cost/income</w:t>
      </w:r>
      <w:r w:rsidRPr="00FB6933">
        <w:rPr>
          <w:color w:val="555558"/>
          <w:spacing w:val="-3"/>
        </w:rPr>
        <w:t xml:space="preserve"> </w:t>
      </w:r>
      <w:r w:rsidRPr="00FB6933">
        <w:rPr>
          <w:color w:val="555558"/>
        </w:rPr>
        <w:t>ratio</w:t>
      </w:r>
      <w:r w:rsidRPr="00FB6933">
        <w:rPr>
          <w:color w:val="555558"/>
          <w:spacing w:val="-1"/>
        </w:rPr>
        <w:t xml:space="preserve"> </w:t>
      </w:r>
      <w:r w:rsidRPr="00FB6933">
        <w:rPr>
          <w:color w:val="555558"/>
        </w:rPr>
        <w:t>was</w:t>
      </w:r>
      <w:r w:rsidRPr="00FB6933">
        <w:rPr>
          <w:color w:val="555558"/>
          <w:spacing w:val="-3"/>
        </w:rPr>
        <w:t xml:space="preserve"> </w:t>
      </w:r>
      <w:r w:rsidRPr="00FB6933">
        <w:rPr>
          <w:color w:val="555558"/>
        </w:rPr>
        <w:t>63%,</w:t>
      </w:r>
      <w:r w:rsidRPr="00FB6933">
        <w:rPr>
          <w:color w:val="555558"/>
          <w:spacing w:val="-4"/>
        </w:rPr>
        <w:t xml:space="preserve"> </w:t>
      </w:r>
      <w:r w:rsidRPr="00FB6933">
        <w:rPr>
          <w:color w:val="555558"/>
        </w:rPr>
        <w:t>or</w:t>
      </w:r>
      <w:r w:rsidRPr="00FB6933">
        <w:rPr>
          <w:color w:val="555558"/>
          <w:spacing w:val="-1"/>
        </w:rPr>
        <w:t xml:space="preserve"> </w:t>
      </w:r>
      <w:r w:rsidRPr="00FB6933">
        <w:rPr>
          <w:color w:val="555558"/>
        </w:rPr>
        <w:t>69%</w:t>
      </w:r>
      <w:r w:rsidRPr="00FB6933">
        <w:rPr>
          <w:color w:val="555558"/>
          <w:spacing w:val="-4"/>
        </w:rPr>
        <w:t xml:space="preserve"> </w:t>
      </w:r>
      <w:r w:rsidRPr="00FB6933">
        <w:rPr>
          <w:color w:val="555558"/>
        </w:rPr>
        <w:t>if</w:t>
      </w:r>
      <w:r w:rsidRPr="00FB6933">
        <w:rPr>
          <w:color w:val="555558"/>
          <w:spacing w:val="-1"/>
        </w:rPr>
        <w:t xml:space="preserve"> </w:t>
      </w:r>
      <w:r w:rsidRPr="00FB6933">
        <w:rPr>
          <w:color w:val="555558"/>
        </w:rPr>
        <w:t>adjusted</w:t>
      </w:r>
      <w:r w:rsidRPr="00FB6933">
        <w:rPr>
          <w:color w:val="555558"/>
          <w:spacing w:val="-1"/>
        </w:rPr>
        <w:t xml:space="preserve"> </w:t>
      </w:r>
      <w:r w:rsidRPr="00FB6933">
        <w:rPr>
          <w:color w:val="555558"/>
        </w:rPr>
        <w:t>for</w:t>
      </w:r>
      <w:r w:rsidRPr="00FB6933">
        <w:rPr>
          <w:color w:val="555558"/>
          <w:spacing w:val="-3"/>
        </w:rPr>
        <w:t xml:space="preserve"> </w:t>
      </w:r>
      <w:r w:rsidRPr="00FB6933">
        <w:rPr>
          <w:color w:val="555558"/>
        </w:rPr>
        <w:t>the</w:t>
      </w:r>
      <w:r w:rsidRPr="00FB6933">
        <w:rPr>
          <w:color w:val="555558"/>
          <w:spacing w:val="-1"/>
        </w:rPr>
        <w:t xml:space="preserve"> </w:t>
      </w:r>
      <w:r w:rsidRPr="00FB6933">
        <w:rPr>
          <w:color w:val="555558"/>
        </w:rPr>
        <w:t>Postbank litigation release, down from a cost/income ratio of 72% in the prior year quarter.</w:t>
      </w:r>
    </w:p>
    <w:p w:rsidR="00695E2E" w:rsidRDefault="00695E2E" w:rsidP="006375FB">
      <w:pPr>
        <w:pStyle w:val="Textkrper"/>
        <w:spacing w:after="120" w:line="264" w:lineRule="auto"/>
      </w:pPr>
    </w:p>
    <w:p w:rsidR="00695E2E" w:rsidRDefault="00695E2E" w:rsidP="006375FB">
      <w:pPr>
        <w:spacing w:after="120" w:line="264" w:lineRule="auto"/>
        <w:rPr>
          <w:sz w:val="25"/>
        </w:rPr>
      </w:pPr>
      <w:bookmarkStart w:id="1" w:name="Continued_delivery_of_the_Global_Hausban"/>
      <w:bookmarkEnd w:id="1"/>
      <w:r>
        <w:rPr>
          <w:color w:val="00A2DF"/>
          <w:sz w:val="25"/>
        </w:rPr>
        <w:t>Continued</w:t>
      </w:r>
      <w:r>
        <w:rPr>
          <w:color w:val="00A2DF"/>
          <w:spacing w:val="5"/>
          <w:sz w:val="25"/>
        </w:rPr>
        <w:t xml:space="preserve"> </w:t>
      </w:r>
      <w:r>
        <w:rPr>
          <w:color w:val="00A2DF"/>
          <w:sz w:val="25"/>
        </w:rPr>
        <w:t>delivery</w:t>
      </w:r>
      <w:r>
        <w:rPr>
          <w:color w:val="00A2DF"/>
          <w:spacing w:val="3"/>
          <w:sz w:val="25"/>
        </w:rPr>
        <w:t xml:space="preserve"> </w:t>
      </w:r>
      <w:r>
        <w:rPr>
          <w:color w:val="00A2DF"/>
          <w:sz w:val="25"/>
        </w:rPr>
        <w:t>of</w:t>
      </w:r>
      <w:r>
        <w:rPr>
          <w:color w:val="00A2DF"/>
          <w:spacing w:val="3"/>
          <w:sz w:val="25"/>
        </w:rPr>
        <w:t xml:space="preserve"> </w:t>
      </w:r>
      <w:r>
        <w:rPr>
          <w:color w:val="00A2DF"/>
          <w:sz w:val="25"/>
        </w:rPr>
        <w:t>the</w:t>
      </w:r>
      <w:r>
        <w:rPr>
          <w:color w:val="00A2DF"/>
          <w:spacing w:val="6"/>
          <w:sz w:val="25"/>
        </w:rPr>
        <w:t xml:space="preserve"> </w:t>
      </w:r>
      <w:r>
        <w:rPr>
          <w:rFonts w:ascii="Georgia"/>
          <w:i/>
          <w:color w:val="00A2DF"/>
          <w:sz w:val="25"/>
        </w:rPr>
        <w:t>Global</w:t>
      </w:r>
      <w:r>
        <w:rPr>
          <w:rFonts w:ascii="Georgia"/>
          <w:i/>
          <w:color w:val="00A2DF"/>
          <w:spacing w:val="13"/>
          <w:sz w:val="25"/>
        </w:rPr>
        <w:t xml:space="preserve"> </w:t>
      </w:r>
      <w:proofErr w:type="spellStart"/>
      <w:r>
        <w:rPr>
          <w:rFonts w:ascii="Georgia"/>
          <w:i/>
          <w:color w:val="00A2DF"/>
          <w:sz w:val="25"/>
        </w:rPr>
        <w:t>Hausbank</w:t>
      </w:r>
      <w:proofErr w:type="spellEnd"/>
      <w:r>
        <w:rPr>
          <w:rFonts w:ascii="Georgia"/>
          <w:i/>
          <w:color w:val="00A2DF"/>
          <w:spacing w:val="14"/>
          <w:sz w:val="25"/>
        </w:rPr>
        <w:t xml:space="preserve"> </w:t>
      </w:r>
      <w:r>
        <w:rPr>
          <w:color w:val="00A2DF"/>
          <w:spacing w:val="-2"/>
          <w:sz w:val="25"/>
        </w:rPr>
        <w:t>strategy</w:t>
      </w:r>
    </w:p>
    <w:p w:rsidR="00695E2E" w:rsidRPr="00FB6933" w:rsidRDefault="00695E2E" w:rsidP="006375FB">
      <w:pPr>
        <w:pStyle w:val="Textkrper"/>
        <w:spacing w:after="120" w:line="264" w:lineRule="auto"/>
        <w:jc w:val="both"/>
      </w:pPr>
      <w:r w:rsidRPr="00FB6933">
        <w:rPr>
          <w:color w:val="555558"/>
        </w:rPr>
        <w:t>Deutsche</w:t>
      </w:r>
      <w:r w:rsidRPr="00FB6933">
        <w:rPr>
          <w:color w:val="555558"/>
          <w:spacing w:val="-5"/>
        </w:rPr>
        <w:t xml:space="preserve"> </w:t>
      </w:r>
      <w:r w:rsidRPr="00FB6933">
        <w:rPr>
          <w:color w:val="555558"/>
        </w:rPr>
        <w:t>Bank</w:t>
      </w:r>
      <w:r w:rsidRPr="00FB6933">
        <w:rPr>
          <w:color w:val="555558"/>
          <w:spacing w:val="-3"/>
        </w:rPr>
        <w:t xml:space="preserve"> </w:t>
      </w:r>
      <w:r w:rsidRPr="00FB6933">
        <w:rPr>
          <w:color w:val="555558"/>
        </w:rPr>
        <w:t>made</w:t>
      </w:r>
      <w:r w:rsidRPr="00FB6933">
        <w:rPr>
          <w:color w:val="555558"/>
          <w:spacing w:val="-4"/>
        </w:rPr>
        <w:t xml:space="preserve"> </w:t>
      </w:r>
      <w:r w:rsidRPr="00FB6933">
        <w:rPr>
          <w:color w:val="555558"/>
        </w:rPr>
        <w:t>progress</w:t>
      </w:r>
      <w:r w:rsidRPr="00FB6933">
        <w:rPr>
          <w:color w:val="555558"/>
          <w:spacing w:val="-6"/>
        </w:rPr>
        <w:t xml:space="preserve"> </w:t>
      </w:r>
      <w:r w:rsidRPr="00FB6933">
        <w:rPr>
          <w:color w:val="555558"/>
        </w:rPr>
        <w:t>on</w:t>
      </w:r>
      <w:r w:rsidRPr="00FB6933">
        <w:rPr>
          <w:color w:val="555558"/>
          <w:spacing w:val="-5"/>
        </w:rPr>
        <w:t xml:space="preserve"> </w:t>
      </w:r>
      <w:r w:rsidRPr="00FB6933">
        <w:rPr>
          <w:color w:val="555558"/>
        </w:rPr>
        <w:t>all</w:t>
      </w:r>
      <w:r w:rsidRPr="00FB6933">
        <w:rPr>
          <w:color w:val="555558"/>
          <w:spacing w:val="-5"/>
        </w:rPr>
        <w:t xml:space="preserve"> </w:t>
      </w:r>
      <w:r w:rsidRPr="00FB6933">
        <w:rPr>
          <w:color w:val="555558"/>
        </w:rPr>
        <w:t>dimensions</w:t>
      </w:r>
      <w:r w:rsidRPr="00FB6933">
        <w:rPr>
          <w:color w:val="555558"/>
          <w:spacing w:val="-5"/>
        </w:rPr>
        <w:t xml:space="preserve"> </w:t>
      </w:r>
      <w:r w:rsidRPr="00FB6933">
        <w:rPr>
          <w:color w:val="555558"/>
        </w:rPr>
        <w:t>of</w:t>
      </w:r>
      <w:r w:rsidRPr="00FB6933">
        <w:rPr>
          <w:color w:val="555558"/>
          <w:spacing w:val="-2"/>
        </w:rPr>
        <w:t xml:space="preserve"> </w:t>
      </w:r>
      <w:r w:rsidRPr="00FB6933">
        <w:rPr>
          <w:color w:val="555558"/>
        </w:rPr>
        <w:t>its</w:t>
      </w:r>
      <w:r w:rsidRPr="00FB6933">
        <w:rPr>
          <w:color w:val="555558"/>
          <w:spacing w:val="-5"/>
        </w:rPr>
        <w:t xml:space="preserve"> </w:t>
      </w:r>
      <w:r w:rsidRPr="00FB6933">
        <w:rPr>
          <w:color w:val="555558"/>
        </w:rPr>
        <w:t>accelerated</w:t>
      </w:r>
      <w:r w:rsidRPr="00FB6933">
        <w:rPr>
          <w:color w:val="555558"/>
          <w:spacing w:val="-2"/>
        </w:rPr>
        <w:t xml:space="preserve"> </w:t>
      </w:r>
      <w:r w:rsidRPr="00FB6933">
        <w:rPr>
          <w:color w:val="555558"/>
        </w:rPr>
        <w:t>Global</w:t>
      </w:r>
      <w:r w:rsidRPr="00FB6933">
        <w:rPr>
          <w:color w:val="555558"/>
          <w:spacing w:val="-4"/>
        </w:rPr>
        <w:t xml:space="preserve"> </w:t>
      </w:r>
      <w:proofErr w:type="spellStart"/>
      <w:r w:rsidRPr="00FB6933">
        <w:rPr>
          <w:color w:val="555558"/>
        </w:rPr>
        <w:t>Hausbank</w:t>
      </w:r>
      <w:proofErr w:type="spellEnd"/>
      <w:r w:rsidRPr="00FB6933">
        <w:rPr>
          <w:color w:val="555558"/>
          <w:spacing w:val="-4"/>
        </w:rPr>
        <w:t xml:space="preserve"> </w:t>
      </w:r>
      <w:r w:rsidRPr="00FB6933">
        <w:rPr>
          <w:color w:val="555558"/>
        </w:rPr>
        <w:t>strategy</w:t>
      </w:r>
      <w:r w:rsidRPr="00FB6933">
        <w:rPr>
          <w:color w:val="555558"/>
          <w:spacing w:val="-3"/>
        </w:rPr>
        <w:t xml:space="preserve"> </w:t>
      </w:r>
      <w:r w:rsidRPr="00FB6933">
        <w:rPr>
          <w:color w:val="555558"/>
        </w:rPr>
        <w:t>in</w:t>
      </w:r>
      <w:r w:rsidRPr="00FB6933">
        <w:rPr>
          <w:color w:val="555558"/>
          <w:spacing w:val="-4"/>
        </w:rPr>
        <w:t xml:space="preserve"> </w:t>
      </w:r>
      <w:r w:rsidRPr="00FB6933">
        <w:rPr>
          <w:color w:val="555558"/>
        </w:rPr>
        <w:t>the</w:t>
      </w:r>
      <w:r w:rsidRPr="00FB6933">
        <w:rPr>
          <w:color w:val="555558"/>
          <w:spacing w:val="-3"/>
        </w:rPr>
        <w:t xml:space="preserve"> </w:t>
      </w:r>
      <w:r w:rsidRPr="00FB6933">
        <w:rPr>
          <w:color w:val="555558"/>
        </w:rPr>
        <w:t>third</w:t>
      </w:r>
      <w:r w:rsidRPr="00FB6933">
        <w:rPr>
          <w:color w:val="555558"/>
          <w:spacing w:val="-4"/>
        </w:rPr>
        <w:t xml:space="preserve"> </w:t>
      </w:r>
      <w:r w:rsidRPr="00FB6933">
        <w:rPr>
          <w:color w:val="555558"/>
          <w:spacing w:val="-2"/>
        </w:rPr>
        <w:t>quarter:</w:t>
      </w:r>
    </w:p>
    <w:p w:rsidR="00695E2E" w:rsidRPr="00FB6933" w:rsidRDefault="00695E2E" w:rsidP="006375FB">
      <w:pPr>
        <w:tabs>
          <w:tab w:val="left" w:pos="625"/>
        </w:tabs>
        <w:spacing w:after="120" w:line="264" w:lineRule="auto"/>
        <w:jc w:val="both"/>
        <w:rPr>
          <w:sz w:val="17"/>
        </w:rPr>
      </w:pPr>
      <w:r w:rsidRPr="00FB6933">
        <w:rPr>
          <w:sz w:val="17"/>
        </w:rPr>
        <w:t>Revenue growth</w:t>
      </w:r>
      <w:r w:rsidRPr="00FB6933">
        <w:rPr>
          <w:color w:val="555558"/>
          <w:sz w:val="17"/>
        </w:rPr>
        <w:t>: Revenues grew 5% year on year to €</w:t>
      </w:r>
      <w:r w:rsidRPr="00FB6933">
        <w:rPr>
          <w:color w:val="555558"/>
          <w:spacing w:val="-2"/>
          <w:sz w:val="17"/>
        </w:rPr>
        <w:t xml:space="preserve"> </w:t>
      </w:r>
      <w:r w:rsidRPr="00FB6933">
        <w:rPr>
          <w:color w:val="555558"/>
          <w:sz w:val="17"/>
        </w:rPr>
        <w:t xml:space="preserve">7.5 billion in the quarter, with 5% growth in commissions and fee income, as net interest income in the key segments of the banking book was broadly stable year on year. The bank’s compound annual revenue growth rate over the last 12 months compared with the full year 2021 was 5.6% at the end of the quarter, within the </w:t>
      </w:r>
      <w:proofErr w:type="gramStart"/>
      <w:r w:rsidRPr="00FB6933">
        <w:rPr>
          <w:color w:val="555558"/>
          <w:sz w:val="17"/>
        </w:rPr>
        <w:t>bank’s</w:t>
      </w:r>
      <w:proofErr w:type="gramEnd"/>
      <w:r w:rsidRPr="00FB6933">
        <w:rPr>
          <w:color w:val="555558"/>
          <w:sz w:val="17"/>
        </w:rPr>
        <w:t xml:space="preserve"> raised target range of between 5.5% and 6.5%.</w:t>
      </w:r>
    </w:p>
    <w:p w:rsidR="00695E2E" w:rsidRPr="00695E2E" w:rsidRDefault="00695E2E" w:rsidP="006375FB">
      <w:pPr>
        <w:tabs>
          <w:tab w:val="left" w:pos="625"/>
        </w:tabs>
        <w:spacing w:after="120" w:line="264" w:lineRule="auto"/>
        <w:jc w:val="both"/>
        <w:rPr>
          <w:sz w:val="17"/>
        </w:rPr>
      </w:pPr>
      <w:r w:rsidRPr="00FB6933">
        <w:rPr>
          <w:sz w:val="17"/>
        </w:rPr>
        <w:t>Operational efficiency</w:t>
      </w:r>
      <w:r w:rsidRPr="00FB6933">
        <w:rPr>
          <w:color w:val="555558"/>
          <w:sz w:val="17"/>
        </w:rPr>
        <w:t>: The bank made further progress on its €</w:t>
      </w:r>
      <w:r w:rsidRPr="00FB6933">
        <w:rPr>
          <w:color w:val="555558"/>
          <w:spacing w:val="-2"/>
          <w:sz w:val="17"/>
        </w:rPr>
        <w:t xml:space="preserve"> </w:t>
      </w:r>
      <w:r w:rsidRPr="00FB6933">
        <w:rPr>
          <w:color w:val="555558"/>
          <w:sz w:val="17"/>
        </w:rPr>
        <w:t xml:space="preserve">2.5 billion Operational Efficiency </w:t>
      </w:r>
      <w:proofErr w:type="gramStart"/>
      <w:r w:rsidRPr="00FB6933">
        <w:rPr>
          <w:color w:val="555558"/>
          <w:sz w:val="17"/>
        </w:rPr>
        <w:t>program which</w:t>
      </w:r>
      <w:proofErr w:type="gramEnd"/>
      <w:r w:rsidRPr="00FB6933">
        <w:rPr>
          <w:color w:val="555558"/>
          <w:sz w:val="17"/>
        </w:rPr>
        <w:t xml:space="preserve"> includes optimization of the platform in Germany and workforce reductions, notably in non-client-facing roles. In the third quarter, total savings either realized or expected from measures completed reached €</w:t>
      </w:r>
      <w:r w:rsidRPr="00FB6933">
        <w:rPr>
          <w:color w:val="555558"/>
          <w:spacing w:val="-3"/>
          <w:sz w:val="17"/>
        </w:rPr>
        <w:t xml:space="preserve"> </w:t>
      </w:r>
      <w:r w:rsidRPr="00FB6933">
        <w:rPr>
          <w:color w:val="555558"/>
          <w:sz w:val="17"/>
        </w:rPr>
        <w:t>1.7</w:t>
      </w:r>
      <w:r w:rsidRPr="00FB6933">
        <w:rPr>
          <w:color w:val="555558"/>
          <w:spacing w:val="-3"/>
          <w:sz w:val="17"/>
        </w:rPr>
        <w:t xml:space="preserve"> </w:t>
      </w:r>
      <w:r w:rsidRPr="00FB6933">
        <w:rPr>
          <w:color w:val="555558"/>
          <w:sz w:val="17"/>
        </w:rPr>
        <w:t>billion, including € 1.5</w:t>
      </w:r>
      <w:r w:rsidRPr="00FB6933">
        <w:rPr>
          <w:color w:val="555558"/>
          <w:spacing w:val="-3"/>
          <w:sz w:val="17"/>
        </w:rPr>
        <w:t xml:space="preserve"> </w:t>
      </w:r>
      <w:r w:rsidRPr="00FB6933">
        <w:rPr>
          <w:color w:val="555558"/>
          <w:sz w:val="17"/>
        </w:rPr>
        <w:t xml:space="preserve">billion in savings realized. Workforce reductions related to the program reached a cumulative </w:t>
      </w:r>
      <w:proofErr w:type="gramStart"/>
      <w:r w:rsidRPr="00FB6933">
        <w:rPr>
          <w:color w:val="555558"/>
          <w:sz w:val="17"/>
        </w:rPr>
        <w:t>total of approximately</w:t>
      </w:r>
      <w:proofErr w:type="gramEnd"/>
      <w:r w:rsidRPr="00FB6933">
        <w:rPr>
          <w:color w:val="555558"/>
          <w:sz w:val="17"/>
        </w:rPr>
        <w:t xml:space="preserve"> 3,300 full-time equivalents</w:t>
      </w:r>
      <w:r w:rsidRPr="00FB6933">
        <w:rPr>
          <w:color w:val="555558"/>
          <w:spacing w:val="-3"/>
          <w:sz w:val="17"/>
        </w:rPr>
        <w:t xml:space="preserve"> </w:t>
      </w:r>
      <w:r w:rsidRPr="00FB6933">
        <w:rPr>
          <w:color w:val="555558"/>
          <w:sz w:val="17"/>
        </w:rPr>
        <w:t>(FTEs),</w:t>
      </w:r>
      <w:r w:rsidRPr="00FB6933">
        <w:rPr>
          <w:color w:val="555558"/>
          <w:spacing w:val="-4"/>
          <w:sz w:val="17"/>
        </w:rPr>
        <w:t xml:space="preserve"> </w:t>
      </w:r>
      <w:r w:rsidRPr="00FB6933">
        <w:rPr>
          <w:color w:val="555558"/>
          <w:sz w:val="17"/>
        </w:rPr>
        <w:t>including</w:t>
      </w:r>
      <w:r w:rsidRPr="00FB6933">
        <w:rPr>
          <w:color w:val="555558"/>
          <w:spacing w:val="-3"/>
          <w:sz w:val="17"/>
        </w:rPr>
        <w:t xml:space="preserve"> </w:t>
      </w:r>
      <w:r w:rsidRPr="00FB6933">
        <w:rPr>
          <w:color w:val="555558"/>
          <w:sz w:val="17"/>
        </w:rPr>
        <w:t>approximately</w:t>
      </w:r>
      <w:r w:rsidRPr="00FB6933">
        <w:rPr>
          <w:color w:val="555558"/>
          <w:spacing w:val="-3"/>
          <w:sz w:val="17"/>
        </w:rPr>
        <w:t xml:space="preserve"> </w:t>
      </w:r>
      <w:r w:rsidRPr="00FB6933">
        <w:rPr>
          <w:color w:val="555558"/>
          <w:sz w:val="17"/>
        </w:rPr>
        <w:t>600</w:t>
      </w:r>
      <w:r w:rsidRPr="00FB6933">
        <w:rPr>
          <w:color w:val="555558"/>
          <w:spacing w:val="-3"/>
          <w:sz w:val="17"/>
        </w:rPr>
        <w:t xml:space="preserve"> </w:t>
      </w:r>
      <w:r w:rsidRPr="00FB6933">
        <w:rPr>
          <w:color w:val="555558"/>
          <w:sz w:val="17"/>
        </w:rPr>
        <w:t>during</w:t>
      </w:r>
      <w:r w:rsidRPr="00FB6933">
        <w:rPr>
          <w:color w:val="555558"/>
          <w:spacing w:val="-5"/>
          <w:sz w:val="17"/>
        </w:rPr>
        <w:t xml:space="preserve"> </w:t>
      </w:r>
      <w:r w:rsidRPr="00FB6933">
        <w:rPr>
          <w:color w:val="555558"/>
          <w:sz w:val="17"/>
        </w:rPr>
        <w:t>the</w:t>
      </w:r>
      <w:r w:rsidRPr="00FB6933">
        <w:rPr>
          <w:color w:val="555558"/>
          <w:spacing w:val="-3"/>
          <w:sz w:val="17"/>
        </w:rPr>
        <w:t xml:space="preserve"> </w:t>
      </w:r>
      <w:r w:rsidRPr="00FB6933">
        <w:rPr>
          <w:color w:val="555558"/>
          <w:sz w:val="17"/>
        </w:rPr>
        <w:t>third</w:t>
      </w:r>
      <w:r w:rsidRPr="00FB6933">
        <w:rPr>
          <w:color w:val="555558"/>
          <w:spacing w:val="-3"/>
          <w:sz w:val="17"/>
        </w:rPr>
        <w:t xml:space="preserve"> </w:t>
      </w:r>
      <w:r w:rsidRPr="00FB6933">
        <w:rPr>
          <w:color w:val="555558"/>
          <w:sz w:val="17"/>
        </w:rPr>
        <w:t>quarter,</w:t>
      </w:r>
      <w:r w:rsidRPr="00FB6933">
        <w:rPr>
          <w:color w:val="555558"/>
          <w:spacing w:val="-1"/>
          <w:sz w:val="17"/>
        </w:rPr>
        <w:t xml:space="preserve"> </w:t>
      </w:r>
      <w:r w:rsidRPr="00FB6933">
        <w:rPr>
          <w:color w:val="555558"/>
          <w:sz w:val="17"/>
        </w:rPr>
        <w:t>more</w:t>
      </w:r>
      <w:r w:rsidRPr="00FB6933">
        <w:rPr>
          <w:color w:val="555558"/>
          <w:spacing w:val="-3"/>
          <w:sz w:val="17"/>
        </w:rPr>
        <w:t xml:space="preserve"> </w:t>
      </w:r>
      <w:r w:rsidRPr="00FB6933">
        <w:rPr>
          <w:color w:val="555558"/>
          <w:sz w:val="17"/>
        </w:rPr>
        <w:t>than</w:t>
      </w:r>
      <w:r w:rsidRPr="00FB6933">
        <w:rPr>
          <w:color w:val="555558"/>
          <w:spacing w:val="-3"/>
          <w:sz w:val="17"/>
        </w:rPr>
        <w:t xml:space="preserve"> </w:t>
      </w:r>
      <w:r w:rsidRPr="00FB6933">
        <w:rPr>
          <w:color w:val="555558"/>
          <w:sz w:val="17"/>
        </w:rPr>
        <w:t>90%</w:t>
      </w:r>
      <w:r w:rsidRPr="00FB6933">
        <w:rPr>
          <w:color w:val="555558"/>
          <w:spacing w:val="-4"/>
          <w:sz w:val="17"/>
        </w:rPr>
        <w:t xml:space="preserve"> </w:t>
      </w:r>
      <w:r w:rsidRPr="00FB6933">
        <w:rPr>
          <w:color w:val="555558"/>
          <w:sz w:val="17"/>
        </w:rPr>
        <w:t>of</w:t>
      </w:r>
      <w:r w:rsidRPr="00FB6933">
        <w:rPr>
          <w:color w:val="555558"/>
          <w:spacing w:val="-4"/>
          <w:sz w:val="17"/>
        </w:rPr>
        <w:t xml:space="preserve"> </w:t>
      </w:r>
      <w:r w:rsidRPr="00FB6933">
        <w:rPr>
          <w:color w:val="555558"/>
          <w:sz w:val="17"/>
        </w:rPr>
        <w:t>the</w:t>
      </w:r>
      <w:r w:rsidRPr="00FB6933">
        <w:rPr>
          <w:color w:val="555558"/>
          <w:spacing w:val="-3"/>
          <w:sz w:val="17"/>
        </w:rPr>
        <w:t xml:space="preserve"> </w:t>
      </w:r>
      <w:r w:rsidRPr="00FB6933">
        <w:rPr>
          <w:color w:val="555558"/>
          <w:sz w:val="17"/>
        </w:rPr>
        <w:t>planned total</w:t>
      </w:r>
      <w:r w:rsidRPr="00FB6933">
        <w:rPr>
          <w:color w:val="555558"/>
          <w:spacing w:val="-4"/>
          <w:sz w:val="17"/>
        </w:rPr>
        <w:t xml:space="preserve"> </w:t>
      </w:r>
      <w:r w:rsidRPr="00FB6933">
        <w:rPr>
          <w:color w:val="555558"/>
          <w:sz w:val="17"/>
        </w:rPr>
        <w:t>through</w:t>
      </w:r>
      <w:r w:rsidRPr="00FB6933">
        <w:rPr>
          <w:color w:val="555558"/>
          <w:spacing w:val="-3"/>
          <w:sz w:val="17"/>
        </w:rPr>
        <w:t xml:space="preserve"> </w:t>
      </w:r>
      <w:r w:rsidRPr="00FB6933">
        <w:rPr>
          <w:color w:val="555558"/>
          <w:sz w:val="17"/>
        </w:rPr>
        <w:t>year end 2024.</w:t>
      </w:r>
      <w:r w:rsidRPr="00FB6933">
        <w:rPr>
          <w:color w:val="555558"/>
          <w:spacing w:val="-3"/>
          <w:sz w:val="17"/>
        </w:rPr>
        <w:t xml:space="preserve"> </w:t>
      </w:r>
      <w:r w:rsidRPr="00FB6933">
        <w:rPr>
          <w:color w:val="555558"/>
          <w:sz w:val="17"/>
        </w:rPr>
        <w:t>In</w:t>
      </w:r>
      <w:r w:rsidRPr="00FB6933">
        <w:rPr>
          <w:color w:val="555558"/>
          <w:spacing w:val="-2"/>
          <w:sz w:val="17"/>
        </w:rPr>
        <w:t xml:space="preserve"> </w:t>
      </w:r>
      <w:r w:rsidRPr="00FB6933">
        <w:rPr>
          <w:color w:val="555558"/>
          <w:sz w:val="17"/>
        </w:rPr>
        <w:t>addition,</w:t>
      </w:r>
      <w:r w:rsidRPr="00FB6933">
        <w:rPr>
          <w:color w:val="555558"/>
          <w:spacing w:val="-3"/>
          <w:sz w:val="17"/>
        </w:rPr>
        <w:t xml:space="preserve"> </w:t>
      </w:r>
      <w:r w:rsidRPr="00FB6933">
        <w:rPr>
          <w:color w:val="555558"/>
          <w:sz w:val="17"/>
        </w:rPr>
        <w:t>contract</w:t>
      </w:r>
      <w:r w:rsidRPr="00FB6933">
        <w:rPr>
          <w:color w:val="555558"/>
          <w:spacing w:val="-3"/>
          <w:sz w:val="17"/>
        </w:rPr>
        <w:t xml:space="preserve"> </w:t>
      </w:r>
      <w:r w:rsidRPr="00FB6933">
        <w:rPr>
          <w:color w:val="555558"/>
          <w:sz w:val="17"/>
        </w:rPr>
        <w:t>external</w:t>
      </w:r>
      <w:r w:rsidRPr="00FB6933">
        <w:rPr>
          <w:color w:val="555558"/>
          <w:spacing w:val="-3"/>
          <w:sz w:val="17"/>
        </w:rPr>
        <w:t xml:space="preserve"> </w:t>
      </w:r>
      <w:r w:rsidRPr="00FB6933">
        <w:rPr>
          <w:color w:val="555558"/>
          <w:sz w:val="17"/>
        </w:rPr>
        <w:t>staff</w:t>
      </w:r>
      <w:r w:rsidRPr="00FB6933">
        <w:rPr>
          <w:color w:val="555558"/>
          <w:spacing w:val="-3"/>
          <w:sz w:val="17"/>
        </w:rPr>
        <w:t xml:space="preserve"> </w:t>
      </w:r>
      <w:proofErr w:type="gramStart"/>
      <w:r w:rsidRPr="00FB6933">
        <w:rPr>
          <w:color w:val="555558"/>
          <w:sz w:val="17"/>
        </w:rPr>
        <w:t>have been reduced</w:t>
      </w:r>
      <w:proofErr w:type="gramEnd"/>
      <w:r w:rsidRPr="00FB6933">
        <w:rPr>
          <w:color w:val="555558"/>
          <w:spacing w:val="-2"/>
          <w:sz w:val="17"/>
        </w:rPr>
        <w:t xml:space="preserve"> </w:t>
      </w:r>
      <w:r w:rsidRPr="00FB6933">
        <w:rPr>
          <w:color w:val="555558"/>
          <w:sz w:val="17"/>
        </w:rPr>
        <w:t>by</w:t>
      </w:r>
      <w:r w:rsidRPr="00FB6933">
        <w:rPr>
          <w:color w:val="555558"/>
          <w:spacing w:val="-2"/>
          <w:sz w:val="17"/>
        </w:rPr>
        <w:t xml:space="preserve"> </w:t>
      </w:r>
      <w:r w:rsidRPr="00FB6933">
        <w:rPr>
          <w:color w:val="555558"/>
          <w:sz w:val="17"/>
        </w:rPr>
        <w:t>approximately</w:t>
      </w:r>
      <w:r w:rsidRPr="00FB6933">
        <w:rPr>
          <w:color w:val="555558"/>
          <w:spacing w:val="-2"/>
          <w:sz w:val="17"/>
        </w:rPr>
        <w:t xml:space="preserve"> </w:t>
      </w:r>
      <w:r w:rsidRPr="00FB6933">
        <w:rPr>
          <w:color w:val="555558"/>
          <w:sz w:val="17"/>
        </w:rPr>
        <w:t>1,400, notably</w:t>
      </w:r>
      <w:r w:rsidRPr="00FB6933">
        <w:rPr>
          <w:color w:val="555558"/>
          <w:spacing w:val="-2"/>
          <w:sz w:val="17"/>
        </w:rPr>
        <w:t xml:space="preserve"> </w:t>
      </w:r>
      <w:r w:rsidRPr="00FB6933">
        <w:rPr>
          <w:color w:val="555558"/>
          <w:sz w:val="17"/>
        </w:rPr>
        <w:t>through internalizations, in the first nine months of 2024.</w:t>
      </w:r>
    </w:p>
    <w:p w:rsidR="00695E2E" w:rsidRPr="00695E2E" w:rsidRDefault="00695E2E" w:rsidP="006375FB">
      <w:pPr>
        <w:tabs>
          <w:tab w:val="left" w:pos="625"/>
        </w:tabs>
        <w:spacing w:after="120" w:line="264" w:lineRule="auto"/>
        <w:ind w:right="268"/>
        <w:jc w:val="both"/>
        <w:rPr>
          <w:color w:val="555558"/>
          <w:sz w:val="17"/>
        </w:rPr>
      </w:pPr>
    </w:p>
    <w:p w:rsidR="00695E2E" w:rsidRDefault="00695E2E" w:rsidP="006375FB">
      <w:pPr>
        <w:pStyle w:val="berschrift3"/>
        <w:spacing w:after="120" w:line="264" w:lineRule="auto"/>
        <w:ind w:left="0"/>
      </w:pPr>
      <w:bookmarkStart w:id="2" w:name="Revenues"/>
      <w:bookmarkEnd w:id="2"/>
      <w:r>
        <w:rPr>
          <w:color w:val="00A2DF"/>
          <w:spacing w:val="-2"/>
        </w:rPr>
        <w:t>Revenues</w:t>
      </w:r>
    </w:p>
    <w:p w:rsidR="00695E2E" w:rsidRPr="00F9216F" w:rsidRDefault="00695E2E" w:rsidP="006375FB">
      <w:pPr>
        <w:tabs>
          <w:tab w:val="left" w:pos="624"/>
        </w:tabs>
        <w:spacing w:after="120" w:line="264" w:lineRule="auto"/>
        <w:jc w:val="both"/>
        <w:rPr>
          <w:sz w:val="17"/>
        </w:rPr>
      </w:pPr>
      <w:r w:rsidRPr="00F9216F">
        <w:rPr>
          <w:sz w:val="17"/>
        </w:rPr>
        <w:t>Corporate</w:t>
      </w:r>
      <w:r w:rsidRPr="00F9216F">
        <w:rPr>
          <w:spacing w:val="-2"/>
          <w:sz w:val="17"/>
        </w:rPr>
        <w:t xml:space="preserve"> </w:t>
      </w:r>
      <w:r w:rsidRPr="00F9216F">
        <w:rPr>
          <w:sz w:val="17"/>
        </w:rPr>
        <w:t xml:space="preserve">Bank net revenues were € 1.8 billion, down 3% compared to the third quarter of 2023. Net interest income was € 1.2 billion, down slightly year on year, reflecting normalizing deposit margins, mostly offset by growth in deposit volumes and higher loan net interest income. Commissions and fee income grew 4% to € 611 million, driven by growth in the Institutional Client Services business. Corporate Treasury Services revenues were € 1.0 billion, down 3% year on year, while Institutional Client Services revenues rose 3% to € 485 million. Business </w:t>
      </w:r>
      <w:proofErr w:type="gramStart"/>
      <w:r w:rsidRPr="00F9216F">
        <w:rPr>
          <w:sz w:val="17"/>
        </w:rPr>
        <w:t>Banking</w:t>
      </w:r>
      <w:proofErr w:type="gramEnd"/>
      <w:r w:rsidRPr="00F9216F">
        <w:rPr>
          <w:sz w:val="17"/>
        </w:rPr>
        <w:t xml:space="preserve"> revenues declined 9% year on year to € 328 million, reflecting lower net interest income compared to the strong levels of the prior year quarter. For the first nine months, net revenues declined 3% to € 5.6 billion. Corporate Treasury Services revenues were down 5% to € 3.2 billion, while Institutional Client Services revenues grew 5% to € 1.5 billion and Business Banking revenues declined 5% to € 1.0 billion.</w:t>
      </w:r>
    </w:p>
    <w:p w:rsidR="00695E2E" w:rsidRPr="00F9216F" w:rsidRDefault="00695E2E" w:rsidP="006375FB">
      <w:pPr>
        <w:tabs>
          <w:tab w:val="left" w:pos="625"/>
        </w:tabs>
        <w:spacing w:after="120" w:line="264" w:lineRule="auto"/>
        <w:jc w:val="both"/>
        <w:rPr>
          <w:sz w:val="17"/>
        </w:rPr>
      </w:pPr>
      <w:r w:rsidRPr="00F9216F">
        <w:rPr>
          <w:sz w:val="17"/>
        </w:rPr>
        <w:t xml:space="preserve">Investment Bank </w:t>
      </w:r>
      <w:r w:rsidRPr="00F9216F">
        <w:rPr>
          <w:color w:val="555558"/>
          <w:sz w:val="17"/>
        </w:rPr>
        <w:t>net revenues were € 2.5</w:t>
      </w:r>
      <w:r w:rsidRPr="00F9216F">
        <w:rPr>
          <w:color w:val="555558"/>
          <w:spacing w:val="-2"/>
          <w:sz w:val="17"/>
        </w:rPr>
        <w:t xml:space="preserve"> </w:t>
      </w:r>
      <w:r w:rsidRPr="00F9216F">
        <w:rPr>
          <w:color w:val="555558"/>
          <w:sz w:val="17"/>
        </w:rPr>
        <w:t>billion, up 11% over the third quarter of 2023, with growth across both Fixed Income and Currencies (FIC) and Origination &amp; Advisory. Revenues in FIC increased 11% to €</w:t>
      </w:r>
      <w:r w:rsidRPr="00F9216F">
        <w:rPr>
          <w:color w:val="555558"/>
          <w:spacing w:val="-3"/>
          <w:sz w:val="17"/>
        </w:rPr>
        <w:t xml:space="preserve"> </w:t>
      </w:r>
      <w:r w:rsidRPr="00F9216F">
        <w:rPr>
          <w:color w:val="555558"/>
          <w:sz w:val="17"/>
        </w:rPr>
        <w:t>2.1</w:t>
      </w:r>
      <w:r w:rsidRPr="00F9216F">
        <w:rPr>
          <w:color w:val="555558"/>
          <w:spacing w:val="-3"/>
          <w:sz w:val="17"/>
        </w:rPr>
        <w:t xml:space="preserve"> </w:t>
      </w:r>
      <w:r w:rsidRPr="00F9216F">
        <w:rPr>
          <w:color w:val="555558"/>
          <w:sz w:val="17"/>
        </w:rPr>
        <w:t xml:space="preserve">billion, with Credit Trading revenues significantly higher due to strength in Distressed and continued growth in the Flow business, reflecting investments in prior periods. Emerging Markets revenues were also significantly higher, reflecting growth across regions. Rates revenues were lower year on year in a market </w:t>
      </w:r>
      <w:proofErr w:type="gramStart"/>
      <w:r w:rsidRPr="00F9216F">
        <w:rPr>
          <w:color w:val="555558"/>
          <w:sz w:val="17"/>
        </w:rPr>
        <w:t>environment which</w:t>
      </w:r>
      <w:proofErr w:type="gramEnd"/>
      <w:r w:rsidRPr="00F9216F">
        <w:rPr>
          <w:color w:val="555558"/>
          <w:sz w:val="17"/>
        </w:rPr>
        <w:t xml:space="preserve"> remained uncertain, while Foreign Exchange revenues were higher, supported by continued</w:t>
      </w:r>
      <w:r w:rsidRPr="00F9216F">
        <w:rPr>
          <w:color w:val="555558"/>
          <w:spacing w:val="-1"/>
          <w:sz w:val="17"/>
        </w:rPr>
        <w:t xml:space="preserve"> </w:t>
      </w:r>
      <w:r w:rsidRPr="00F9216F">
        <w:rPr>
          <w:color w:val="555558"/>
          <w:sz w:val="17"/>
        </w:rPr>
        <w:t>strength in the Spot business. Financing</w:t>
      </w:r>
      <w:r w:rsidRPr="00F9216F">
        <w:rPr>
          <w:color w:val="555558"/>
          <w:spacing w:val="-1"/>
          <w:sz w:val="17"/>
        </w:rPr>
        <w:t xml:space="preserve"> </w:t>
      </w:r>
      <w:r w:rsidRPr="00F9216F">
        <w:rPr>
          <w:color w:val="555558"/>
          <w:sz w:val="17"/>
        </w:rPr>
        <w:t>revenues were</w:t>
      </w:r>
      <w:r w:rsidRPr="00F9216F">
        <w:rPr>
          <w:color w:val="555558"/>
          <w:spacing w:val="-1"/>
          <w:sz w:val="17"/>
        </w:rPr>
        <w:t xml:space="preserve"> </w:t>
      </w:r>
      <w:r w:rsidRPr="00F9216F">
        <w:rPr>
          <w:color w:val="555558"/>
          <w:sz w:val="17"/>
        </w:rPr>
        <w:t>essentially</w:t>
      </w:r>
      <w:r w:rsidRPr="00F9216F">
        <w:rPr>
          <w:color w:val="555558"/>
          <w:spacing w:val="-1"/>
          <w:sz w:val="17"/>
        </w:rPr>
        <w:t xml:space="preserve"> </w:t>
      </w:r>
      <w:r w:rsidRPr="00F9216F">
        <w:rPr>
          <w:color w:val="555558"/>
          <w:sz w:val="17"/>
        </w:rPr>
        <w:t>stable year</w:t>
      </w:r>
      <w:r w:rsidRPr="00F9216F">
        <w:rPr>
          <w:color w:val="555558"/>
          <w:spacing w:val="-6"/>
          <w:sz w:val="17"/>
        </w:rPr>
        <w:t xml:space="preserve"> </w:t>
      </w:r>
      <w:r w:rsidRPr="00F9216F">
        <w:rPr>
          <w:color w:val="555558"/>
          <w:sz w:val="17"/>
        </w:rPr>
        <w:t>on</w:t>
      </w:r>
      <w:r w:rsidRPr="00F9216F">
        <w:rPr>
          <w:color w:val="555558"/>
          <w:spacing w:val="-3"/>
          <w:sz w:val="17"/>
        </w:rPr>
        <w:t xml:space="preserve"> </w:t>
      </w:r>
      <w:r w:rsidRPr="00F9216F">
        <w:rPr>
          <w:color w:val="555558"/>
          <w:sz w:val="17"/>
        </w:rPr>
        <w:t>year.</w:t>
      </w:r>
      <w:r w:rsidRPr="00F9216F">
        <w:rPr>
          <w:color w:val="555558"/>
          <w:spacing w:val="-6"/>
          <w:sz w:val="17"/>
        </w:rPr>
        <w:t xml:space="preserve"> </w:t>
      </w:r>
      <w:r w:rsidRPr="00F9216F">
        <w:rPr>
          <w:color w:val="555558"/>
          <w:sz w:val="17"/>
        </w:rPr>
        <w:t>Origination</w:t>
      </w:r>
      <w:r w:rsidRPr="00F9216F">
        <w:rPr>
          <w:color w:val="555558"/>
          <w:spacing w:val="-3"/>
          <w:sz w:val="17"/>
        </w:rPr>
        <w:t xml:space="preserve"> </w:t>
      </w:r>
      <w:r w:rsidRPr="00F9216F">
        <w:rPr>
          <w:color w:val="555558"/>
          <w:sz w:val="17"/>
        </w:rPr>
        <w:t>&amp;</w:t>
      </w:r>
      <w:r w:rsidRPr="00F9216F">
        <w:rPr>
          <w:color w:val="555558"/>
          <w:spacing w:val="-5"/>
          <w:sz w:val="17"/>
        </w:rPr>
        <w:t xml:space="preserve"> </w:t>
      </w:r>
      <w:r w:rsidRPr="00F9216F">
        <w:rPr>
          <w:color w:val="555558"/>
          <w:sz w:val="17"/>
        </w:rPr>
        <w:t>Advisory</w:t>
      </w:r>
      <w:r w:rsidRPr="00F9216F">
        <w:rPr>
          <w:color w:val="555558"/>
          <w:spacing w:val="-5"/>
          <w:sz w:val="17"/>
        </w:rPr>
        <w:t xml:space="preserve"> </w:t>
      </w:r>
      <w:r w:rsidRPr="00F9216F">
        <w:rPr>
          <w:color w:val="555558"/>
          <w:sz w:val="17"/>
        </w:rPr>
        <w:t>revenues</w:t>
      </w:r>
      <w:r w:rsidRPr="00F9216F">
        <w:rPr>
          <w:color w:val="555558"/>
          <w:spacing w:val="-3"/>
          <w:sz w:val="17"/>
        </w:rPr>
        <w:t xml:space="preserve"> </w:t>
      </w:r>
      <w:r w:rsidRPr="00F9216F">
        <w:rPr>
          <w:color w:val="555558"/>
          <w:sz w:val="17"/>
        </w:rPr>
        <w:t>were €</w:t>
      </w:r>
      <w:r w:rsidRPr="00F9216F">
        <w:rPr>
          <w:color w:val="555558"/>
          <w:spacing w:val="-3"/>
          <w:sz w:val="17"/>
        </w:rPr>
        <w:t xml:space="preserve"> </w:t>
      </w:r>
      <w:r w:rsidRPr="00F9216F">
        <w:rPr>
          <w:color w:val="555558"/>
          <w:sz w:val="17"/>
        </w:rPr>
        <w:t>401 million,</w:t>
      </w:r>
      <w:r w:rsidRPr="00F9216F">
        <w:rPr>
          <w:color w:val="555558"/>
          <w:spacing w:val="-6"/>
          <w:sz w:val="17"/>
        </w:rPr>
        <w:t xml:space="preserve"> </w:t>
      </w:r>
      <w:proofErr w:type="gramStart"/>
      <w:r w:rsidRPr="00F9216F">
        <w:rPr>
          <w:color w:val="555558"/>
          <w:sz w:val="17"/>
        </w:rPr>
        <w:t>up</w:t>
      </w:r>
      <w:r w:rsidRPr="00F9216F">
        <w:rPr>
          <w:color w:val="555558"/>
          <w:spacing w:val="-5"/>
          <w:sz w:val="17"/>
        </w:rPr>
        <w:t xml:space="preserve"> </w:t>
      </w:r>
      <w:r w:rsidRPr="00F9216F">
        <w:rPr>
          <w:color w:val="555558"/>
          <w:sz w:val="17"/>
        </w:rPr>
        <w:t>24%</w:t>
      </w:r>
      <w:r w:rsidRPr="00F9216F">
        <w:rPr>
          <w:color w:val="555558"/>
          <w:spacing w:val="-7"/>
          <w:sz w:val="17"/>
        </w:rPr>
        <w:t xml:space="preserve"> </w:t>
      </w:r>
      <w:r w:rsidRPr="00F9216F">
        <w:rPr>
          <w:color w:val="555558"/>
          <w:sz w:val="17"/>
        </w:rPr>
        <w:t>year</w:t>
      </w:r>
      <w:r w:rsidRPr="00F9216F">
        <w:rPr>
          <w:color w:val="555558"/>
          <w:spacing w:val="-6"/>
          <w:sz w:val="17"/>
        </w:rPr>
        <w:t xml:space="preserve"> </w:t>
      </w:r>
      <w:r w:rsidRPr="00F9216F">
        <w:rPr>
          <w:color w:val="555558"/>
          <w:sz w:val="17"/>
        </w:rPr>
        <w:t>on</w:t>
      </w:r>
      <w:r w:rsidRPr="00F9216F">
        <w:rPr>
          <w:color w:val="555558"/>
          <w:spacing w:val="-3"/>
          <w:sz w:val="17"/>
        </w:rPr>
        <w:t xml:space="preserve"> </w:t>
      </w:r>
      <w:r w:rsidRPr="00F9216F">
        <w:rPr>
          <w:color w:val="555558"/>
          <w:sz w:val="17"/>
        </w:rPr>
        <w:t>year</w:t>
      </w:r>
      <w:r w:rsidRPr="00F9216F">
        <w:rPr>
          <w:color w:val="555558"/>
          <w:spacing w:val="-3"/>
          <w:sz w:val="17"/>
        </w:rPr>
        <w:t xml:space="preserve"> </w:t>
      </w:r>
      <w:r w:rsidRPr="00F9216F">
        <w:rPr>
          <w:color w:val="555558"/>
          <w:sz w:val="17"/>
        </w:rPr>
        <w:t>with</w:t>
      </w:r>
      <w:r w:rsidRPr="00F9216F">
        <w:rPr>
          <w:color w:val="555558"/>
          <w:spacing w:val="-3"/>
          <w:sz w:val="17"/>
        </w:rPr>
        <w:t xml:space="preserve"> </w:t>
      </w:r>
      <w:r w:rsidRPr="00F9216F">
        <w:rPr>
          <w:color w:val="555558"/>
          <w:sz w:val="17"/>
        </w:rPr>
        <w:t>growth</w:t>
      </w:r>
      <w:r w:rsidRPr="00F9216F">
        <w:rPr>
          <w:color w:val="555558"/>
          <w:spacing w:val="-5"/>
          <w:sz w:val="17"/>
        </w:rPr>
        <w:t xml:space="preserve"> </w:t>
      </w:r>
      <w:r w:rsidRPr="00F9216F">
        <w:rPr>
          <w:color w:val="555558"/>
          <w:sz w:val="17"/>
        </w:rPr>
        <w:t>across</w:t>
      </w:r>
      <w:r w:rsidRPr="00F9216F">
        <w:rPr>
          <w:color w:val="555558"/>
          <w:spacing w:val="-5"/>
          <w:sz w:val="17"/>
        </w:rPr>
        <w:t xml:space="preserve"> </w:t>
      </w:r>
      <w:r w:rsidRPr="00F9216F">
        <w:rPr>
          <w:color w:val="555558"/>
          <w:sz w:val="17"/>
        </w:rPr>
        <w:t>business</w:t>
      </w:r>
      <w:r w:rsidRPr="00F9216F">
        <w:rPr>
          <w:color w:val="555558"/>
          <w:spacing w:val="-3"/>
          <w:sz w:val="17"/>
        </w:rPr>
        <w:t xml:space="preserve"> </w:t>
      </w:r>
      <w:r w:rsidRPr="00F9216F">
        <w:rPr>
          <w:color w:val="555558"/>
          <w:sz w:val="17"/>
        </w:rPr>
        <w:t>lines,</w:t>
      </w:r>
      <w:proofErr w:type="gramEnd"/>
      <w:r w:rsidRPr="00F9216F">
        <w:rPr>
          <w:color w:val="555558"/>
          <w:sz w:val="17"/>
        </w:rPr>
        <w:t xml:space="preserve"> as</w:t>
      </w:r>
      <w:r w:rsidRPr="00F9216F">
        <w:rPr>
          <w:color w:val="555558"/>
          <w:spacing w:val="-1"/>
          <w:sz w:val="17"/>
        </w:rPr>
        <w:t xml:space="preserve"> </w:t>
      </w:r>
      <w:r w:rsidRPr="00F9216F">
        <w:rPr>
          <w:color w:val="555558"/>
          <w:sz w:val="17"/>
        </w:rPr>
        <w:t>Deutsche</w:t>
      </w:r>
      <w:r w:rsidRPr="00F9216F">
        <w:rPr>
          <w:color w:val="555558"/>
          <w:spacing w:val="-1"/>
          <w:sz w:val="17"/>
        </w:rPr>
        <w:t xml:space="preserve"> </w:t>
      </w:r>
      <w:r w:rsidRPr="00F9216F">
        <w:rPr>
          <w:color w:val="555558"/>
          <w:sz w:val="17"/>
        </w:rPr>
        <w:t>Bank</w:t>
      </w:r>
      <w:r w:rsidRPr="00F9216F">
        <w:rPr>
          <w:color w:val="555558"/>
          <w:spacing w:val="-1"/>
          <w:sz w:val="17"/>
        </w:rPr>
        <w:t xml:space="preserve"> </w:t>
      </w:r>
      <w:r w:rsidRPr="00F9216F">
        <w:rPr>
          <w:color w:val="555558"/>
          <w:sz w:val="17"/>
        </w:rPr>
        <w:t>maintained</w:t>
      </w:r>
      <w:r w:rsidRPr="00F9216F">
        <w:rPr>
          <w:color w:val="555558"/>
          <w:spacing w:val="-1"/>
          <w:sz w:val="17"/>
        </w:rPr>
        <w:t xml:space="preserve"> </w:t>
      </w:r>
      <w:r w:rsidRPr="00F9216F">
        <w:rPr>
          <w:color w:val="555558"/>
          <w:sz w:val="17"/>
        </w:rPr>
        <w:t>its number</w:t>
      </w:r>
      <w:r w:rsidRPr="00F9216F">
        <w:rPr>
          <w:color w:val="555558"/>
          <w:spacing w:val="-1"/>
          <w:sz w:val="17"/>
        </w:rPr>
        <w:t xml:space="preserve"> </w:t>
      </w:r>
      <w:r w:rsidRPr="00F9216F">
        <w:rPr>
          <w:color w:val="555558"/>
          <w:sz w:val="17"/>
        </w:rPr>
        <w:t>one ranking</w:t>
      </w:r>
      <w:r w:rsidRPr="00F9216F">
        <w:rPr>
          <w:color w:val="555558"/>
          <w:spacing w:val="-1"/>
          <w:sz w:val="17"/>
        </w:rPr>
        <w:t xml:space="preserve"> </w:t>
      </w:r>
      <w:r w:rsidRPr="00F9216F">
        <w:rPr>
          <w:color w:val="555558"/>
          <w:sz w:val="17"/>
        </w:rPr>
        <w:t>in Germany</w:t>
      </w:r>
      <w:r w:rsidRPr="00F9216F">
        <w:rPr>
          <w:color w:val="555558"/>
          <w:spacing w:val="-1"/>
          <w:sz w:val="17"/>
        </w:rPr>
        <w:t xml:space="preserve"> </w:t>
      </w:r>
      <w:r w:rsidRPr="00F9216F">
        <w:rPr>
          <w:color w:val="555558"/>
          <w:sz w:val="17"/>
        </w:rPr>
        <w:t>in the</w:t>
      </w:r>
      <w:r w:rsidRPr="00F9216F">
        <w:rPr>
          <w:color w:val="555558"/>
          <w:spacing w:val="-1"/>
          <w:sz w:val="17"/>
        </w:rPr>
        <w:t xml:space="preserve"> </w:t>
      </w:r>
      <w:r w:rsidRPr="00F9216F">
        <w:rPr>
          <w:color w:val="555558"/>
          <w:sz w:val="17"/>
        </w:rPr>
        <w:t>year</w:t>
      </w:r>
      <w:r w:rsidRPr="00F9216F">
        <w:rPr>
          <w:color w:val="555558"/>
          <w:spacing w:val="-1"/>
          <w:sz w:val="17"/>
        </w:rPr>
        <w:t xml:space="preserve"> </w:t>
      </w:r>
      <w:r w:rsidRPr="00F9216F">
        <w:rPr>
          <w:color w:val="555558"/>
          <w:sz w:val="17"/>
        </w:rPr>
        <w:t>to</w:t>
      </w:r>
      <w:r w:rsidRPr="00F9216F">
        <w:rPr>
          <w:color w:val="555558"/>
          <w:spacing w:val="-1"/>
          <w:sz w:val="17"/>
        </w:rPr>
        <w:t xml:space="preserve"> </w:t>
      </w:r>
      <w:r w:rsidR="00A44B77">
        <w:rPr>
          <w:color w:val="555558"/>
          <w:sz w:val="17"/>
        </w:rPr>
        <w:t>date.</w:t>
      </w:r>
    </w:p>
    <w:sectPr w:rsidR="00695E2E" w:rsidRPr="00F921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17655"/>
    <w:multiLevelType w:val="hybridMultilevel"/>
    <w:tmpl w:val="C656501A"/>
    <w:lvl w:ilvl="0" w:tplc="4FF6E142">
      <w:numFmt w:val="bullet"/>
      <w:lvlText w:val="–"/>
      <w:lvlJc w:val="left"/>
      <w:pPr>
        <w:ind w:left="397" w:hanging="228"/>
      </w:pPr>
      <w:rPr>
        <w:rFonts w:ascii="Arial" w:eastAsia="Arial" w:hAnsi="Arial" w:cs="Arial" w:hint="default"/>
        <w:b w:val="0"/>
        <w:bCs w:val="0"/>
        <w:i w:val="0"/>
        <w:iCs w:val="0"/>
        <w:color w:val="555558"/>
        <w:spacing w:val="0"/>
        <w:w w:val="104"/>
        <w:sz w:val="17"/>
        <w:szCs w:val="17"/>
        <w:lang w:val="en-US" w:eastAsia="en-US" w:bidi="ar-SA"/>
      </w:rPr>
    </w:lvl>
    <w:lvl w:ilvl="1" w:tplc="4BC2D822">
      <w:numFmt w:val="bullet"/>
      <w:lvlText w:val="•"/>
      <w:lvlJc w:val="left"/>
      <w:pPr>
        <w:ind w:left="1362" w:hanging="228"/>
      </w:pPr>
      <w:rPr>
        <w:rFonts w:hint="default"/>
        <w:lang w:val="en-US" w:eastAsia="en-US" w:bidi="ar-SA"/>
      </w:rPr>
    </w:lvl>
    <w:lvl w:ilvl="2" w:tplc="2174D4C2">
      <w:numFmt w:val="bullet"/>
      <w:lvlText w:val="•"/>
      <w:lvlJc w:val="left"/>
      <w:pPr>
        <w:ind w:left="2325" w:hanging="228"/>
      </w:pPr>
      <w:rPr>
        <w:rFonts w:hint="default"/>
        <w:lang w:val="en-US" w:eastAsia="en-US" w:bidi="ar-SA"/>
      </w:rPr>
    </w:lvl>
    <w:lvl w:ilvl="3" w:tplc="B936E886">
      <w:numFmt w:val="bullet"/>
      <w:lvlText w:val="•"/>
      <w:lvlJc w:val="left"/>
      <w:pPr>
        <w:ind w:left="3287" w:hanging="228"/>
      </w:pPr>
      <w:rPr>
        <w:rFonts w:hint="default"/>
        <w:lang w:val="en-US" w:eastAsia="en-US" w:bidi="ar-SA"/>
      </w:rPr>
    </w:lvl>
    <w:lvl w:ilvl="4" w:tplc="04884D68">
      <w:numFmt w:val="bullet"/>
      <w:lvlText w:val="•"/>
      <w:lvlJc w:val="left"/>
      <w:pPr>
        <w:ind w:left="4250" w:hanging="228"/>
      </w:pPr>
      <w:rPr>
        <w:rFonts w:hint="default"/>
        <w:lang w:val="en-US" w:eastAsia="en-US" w:bidi="ar-SA"/>
      </w:rPr>
    </w:lvl>
    <w:lvl w:ilvl="5" w:tplc="EC48059A">
      <w:numFmt w:val="bullet"/>
      <w:lvlText w:val="•"/>
      <w:lvlJc w:val="left"/>
      <w:pPr>
        <w:ind w:left="5212" w:hanging="228"/>
      </w:pPr>
      <w:rPr>
        <w:rFonts w:hint="default"/>
        <w:lang w:val="en-US" w:eastAsia="en-US" w:bidi="ar-SA"/>
      </w:rPr>
    </w:lvl>
    <w:lvl w:ilvl="6" w:tplc="4022B58A">
      <w:numFmt w:val="bullet"/>
      <w:lvlText w:val="•"/>
      <w:lvlJc w:val="left"/>
      <w:pPr>
        <w:ind w:left="6175" w:hanging="228"/>
      </w:pPr>
      <w:rPr>
        <w:rFonts w:hint="default"/>
        <w:lang w:val="en-US" w:eastAsia="en-US" w:bidi="ar-SA"/>
      </w:rPr>
    </w:lvl>
    <w:lvl w:ilvl="7" w:tplc="ECDE8832">
      <w:numFmt w:val="bullet"/>
      <w:lvlText w:val="•"/>
      <w:lvlJc w:val="left"/>
      <w:pPr>
        <w:ind w:left="7137" w:hanging="228"/>
      </w:pPr>
      <w:rPr>
        <w:rFonts w:hint="default"/>
        <w:lang w:val="en-US" w:eastAsia="en-US" w:bidi="ar-SA"/>
      </w:rPr>
    </w:lvl>
    <w:lvl w:ilvl="8" w:tplc="69545B5C">
      <w:numFmt w:val="bullet"/>
      <w:lvlText w:val="•"/>
      <w:lvlJc w:val="left"/>
      <w:pPr>
        <w:ind w:left="8100" w:hanging="22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2E"/>
    <w:rsid w:val="001B1C9B"/>
    <w:rsid w:val="002C18BF"/>
    <w:rsid w:val="004652A4"/>
    <w:rsid w:val="006375FB"/>
    <w:rsid w:val="00695E2E"/>
    <w:rsid w:val="00820637"/>
    <w:rsid w:val="008821EF"/>
    <w:rsid w:val="00A27DAD"/>
    <w:rsid w:val="00A44B77"/>
    <w:rsid w:val="00E36D0F"/>
    <w:rsid w:val="00EE6E0B"/>
    <w:rsid w:val="00F9216F"/>
    <w:rsid w:val="00FB6933"/>
    <w:rsid w:val="00FC42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4188A-35D2-4673-B54D-9AAADBFD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695E2E"/>
    <w:pPr>
      <w:widowControl w:val="0"/>
      <w:autoSpaceDE w:val="0"/>
      <w:autoSpaceDN w:val="0"/>
      <w:spacing w:after="0" w:line="240" w:lineRule="auto"/>
    </w:pPr>
    <w:rPr>
      <w:rFonts w:ascii="Arial" w:eastAsia="Arial" w:hAnsi="Arial" w:cs="Arial"/>
      <w:sz w:val="22"/>
      <w:lang w:val="en-US"/>
    </w:rPr>
  </w:style>
  <w:style w:type="paragraph" w:styleId="berschrift1">
    <w:name w:val="heading 1"/>
    <w:basedOn w:val="Standard"/>
    <w:link w:val="berschrift1Zchn"/>
    <w:uiPriority w:val="1"/>
    <w:qFormat/>
    <w:rsid w:val="00695E2E"/>
    <w:pPr>
      <w:ind w:left="397"/>
      <w:outlineLvl w:val="0"/>
    </w:pPr>
    <w:rPr>
      <w:sz w:val="38"/>
      <w:szCs w:val="38"/>
    </w:rPr>
  </w:style>
  <w:style w:type="paragraph" w:styleId="berschrift3">
    <w:name w:val="heading 3"/>
    <w:basedOn w:val="Standard"/>
    <w:link w:val="berschrift3Zchn"/>
    <w:uiPriority w:val="1"/>
    <w:qFormat/>
    <w:rsid w:val="00695E2E"/>
    <w:pPr>
      <w:ind w:left="397"/>
      <w:outlineLvl w:val="2"/>
    </w:pPr>
    <w:rPr>
      <w:sz w:val="25"/>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95E2E"/>
    <w:rPr>
      <w:rFonts w:ascii="Arial" w:eastAsia="Arial" w:hAnsi="Arial" w:cs="Arial"/>
      <w:sz w:val="38"/>
      <w:szCs w:val="38"/>
      <w:lang w:val="en-US"/>
    </w:rPr>
  </w:style>
  <w:style w:type="character" w:customStyle="1" w:styleId="berschrift3Zchn">
    <w:name w:val="Überschrift 3 Zchn"/>
    <w:basedOn w:val="Absatz-Standardschriftart"/>
    <w:link w:val="berschrift3"/>
    <w:uiPriority w:val="1"/>
    <w:rsid w:val="00695E2E"/>
    <w:rPr>
      <w:rFonts w:ascii="Arial" w:eastAsia="Arial" w:hAnsi="Arial" w:cs="Arial"/>
      <w:sz w:val="25"/>
      <w:szCs w:val="25"/>
      <w:lang w:val="en-US"/>
    </w:rPr>
  </w:style>
  <w:style w:type="paragraph" w:styleId="Textkrper">
    <w:name w:val="Body Text"/>
    <w:basedOn w:val="Standard"/>
    <w:link w:val="TextkrperZchn"/>
    <w:uiPriority w:val="1"/>
    <w:qFormat/>
    <w:rsid w:val="00695E2E"/>
    <w:rPr>
      <w:sz w:val="17"/>
      <w:szCs w:val="17"/>
    </w:rPr>
  </w:style>
  <w:style w:type="character" w:customStyle="1" w:styleId="TextkrperZchn">
    <w:name w:val="Textkörper Zchn"/>
    <w:basedOn w:val="Absatz-Standardschriftart"/>
    <w:link w:val="Textkrper"/>
    <w:uiPriority w:val="1"/>
    <w:rsid w:val="00695E2E"/>
    <w:rPr>
      <w:rFonts w:ascii="Arial" w:eastAsia="Arial" w:hAnsi="Arial" w:cs="Arial"/>
      <w:sz w:val="17"/>
      <w:szCs w:val="17"/>
      <w:lang w:val="en-US"/>
    </w:rPr>
  </w:style>
  <w:style w:type="paragraph" w:styleId="Listenabsatz">
    <w:name w:val="List Paragraph"/>
    <w:basedOn w:val="Standard"/>
    <w:uiPriority w:val="1"/>
    <w:qFormat/>
    <w:rsid w:val="00695E2E"/>
    <w:pPr>
      <w:ind w:left="625" w:hanging="228"/>
    </w:pPr>
  </w:style>
  <w:style w:type="paragraph" w:styleId="Titel">
    <w:name w:val="Title"/>
    <w:basedOn w:val="Standard"/>
    <w:link w:val="TitelZchn"/>
    <w:uiPriority w:val="1"/>
    <w:qFormat/>
    <w:rsid w:val="00695E2E"/>
    <w:pPr>
      <w:ind w:left="106"/>
    </w:pPr>
    <w:rPr>
      <w:rFonts w:ascii="Trebuchet MS" w:eastAsia="Trebuchet MS" w:hAnsi="Trebuchet MS" w:cs="Trebuchet MS"/>
      <w:b/>
      <w:bCs/>
      <w:sz w:val="80"/>
      <w:szCs w:val="80"/>
    </w:rPr>
  </w:style>
  <w:style w:type="character" w:customStyle="1" w:styleId="TitelZchn">
    <w:name w:val="Titel Zchn"/>
    <w:basedOn w:val="Absatz-Standardschriftart"/>
    <w:link w:val="Titel"/>
    <w:uiPriority w:val="1"/>
    <w:rsid w:val="00695E2E"/>
    <w:rPr>
      <w:rFonts w:ascii="Trebuchet MS" w:eastAsia="Trebuchet MS" w:hAnsi="Trebuchet MS" w:cs="Trebuchet MS"/>
      <w:b/>
      <w:bCs/>
      <w:sz w:val="80"/>
      <w:szCs w:val="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704</Words>
  <Characters>3675</Characters>
  <Application>Microsoft Office Word</Application>
  <DocSecurity>0</DocSecurity>
  <Lines>44</Lines>
  <Paragraphs>10</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2024-11-02T16:20:00Z</dcterms:created>
  <dcterms:modified xsi:type="dcterms:W3CDTF">2024-11-12T16:03:00Z</dcterms:modified>
</cp:coreProperties>
</file>