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E07" w:rsidRPr="00005E07" w:rsidRDefault="00005E07" w:rsidP="00005E07">
      <w:pPr>
        <w:pStyle w:val="berschrift1"/>
        <w:spacing w:after="120" w:line="264" w:lineRule="auto"/>
        <w:ind w:left="0"/>
      </w:pPr>
      <w:bookmarkStart w:id="0" w:name="_GoBack"/>
      <w:bookmarkEnd w:id="0"/>
      <w:r>
        <w:rPr>
          <w:color w:val="000E9F"/>
          <w:spacing w:val="-2"/>
        </w:rPr>
        <w:t>Konzernergebnisse</w:t>
      </w:r>
    </w:p>
    <w:p w:rsidR="00005E07" w:rsidRDefault="006845F5" w:rsidP="00005E07">
      <w:pPr>
        <w:pStyle w:val="Textkrper"/>
        <w:spacing w:after="120" w:line="264" w:lineRule="auto"/>
        <w:jc w:val="both"/>
      </w:pPr>
      <w:r>
        <w:rPr>
          <w:color w:val="555558"/>
        </w:rPr>
        <w:t>Die Deutsche</w:t>
      </w:r>
      <w:r>
        <w:rPr>
          <w:color w:val="555558"/>
          <w:spacing w:val="-1"/>
        </w:rPr>
        <w:t xml:space="preserve"> </w:t>
      </w:r>
      <w:r>
        <w:rPr>
          <w:color w:val="555558"/>
        </w:rPr>
        <w:t>Bank</w:t>
      </w:r>
      <w:r>
        <w:rPr>
          <w:color w:val="555558"/>
          <w:spacing w:val="-3"/>
        </w:rPr>
        <w:t xml:space="preserve"> </w:t>
      </w:r>
      <w:r>
        <w:rPr>
          <w:color w:val="555558"/>
        </w:rPr>
        <w:t>hat</w:t>
      </w:r>
      <w:r>
        <w:rPr>
          <w:color w:val="555558"/>
          <w:spacing w:val="-1"/>
        </w:rPr>
        <w:t xml:space="preserve"> </w:t>
      </w:r>
      <w:r>
        <w:rPr>
          <w:color w:val="555558"/>
        </w:rPr>
        <w:t>im</w:t>
      </w:r>
      <w:r>
        <w:rPr>
          <w:color w:val="555558"/>
          <w:spacing w:val="-2"/>
        </w:rPr>
        <w:t xml:space="preserve"> </w:t>
      </w:r>
      <w:r>
        <w:rPr>
          <w:color w:val="555558"/>
        </w:rPr>
        <w:t>dritten Quartal</w:t>
      </w:r>
      <w:r>
        <w:rPr>
          <w:color w:val="555558"/>
          <w:spacing w:val="-1"/>
        </w:rPr>
        <w:t xml:space="preserve"> </w:t>
      </w:r>
      <w:r>
        <w:rPr>
          <w:color w:val="555558"/>
        </w:rPr>
        <w:t>2024</w:t>
      </w:r>
      <w:r>
        <w:rPr>
          <w:color w:val="555558"/>
          <w:spacing w:val="-1"/>
        </w:rPr>
        <w:t xml:space="preserve"> </w:t>
      </w:r>
      <w:r>
        <w:rPr>
          <w:color w:val="555558"/>
        </w:rPr>
        <w:t>einen</w:t>
      </w:r>
      <w:r>
        <w:rPr>
          <w:color w:val="555558"/>
          <w:spacing w:val="-1"/>
        </w:rPr>
        <w:t xml:space="preserve"> </w:t>
      </w:r>
      <w:r>
        <w:rPr>
          <w:color w:val="555558"/>
        </w:rPr>
        <w:t>Vorsteuergewinn</w:t>
      </w:r>
      <w:r>
        <w:rPr>
          <w:color w:val="555558"/>
          <w:spacing w:val="-1"/>
        </w:rPr>
        <w:t xml:space="preserve"> </w:t>
      </w:r>
      <w:r>
        <w:rPr>
          <w:color w:val="555558"/>
        </w:rPr>
        <w:t>von</w:t>
      </w:r>
      <w:r>
        <w:rPr>
          <w:color w:val="555558"/>
          <w:spacing w:val="-1"/>
        </w:rPr>
        <w:t xml:space="preserve"> </w:t>
      </w:r>
      <w:r>
        <w:rPr>
          <w:color w:val="555558"/>
        </w:rPr>
        <w:t>2,3 Mrd.</w:t>
      </w:r>
      <w:r>
        <w:rPr>
          <w:color w:val="555558"/>
          <w:spacing w:val="-3"/>
        </w:rPr>
        <w:t xml:space="preserve"> </w:t>
      </w:r>
      <w:r>
        <w:rPr>
          <w:color w:val="555558"/>
        </w:rPr>
        <w:t>€ erzielt,</w:t>
      </w:r>
      <w:r>
        <w:rPr>
          <w:color w:val="555558"/>
          <w:spacing w:val="-1"/>
        </w:rPr>
        <w:t xml:space="preserve"> </w:t>
      </w:r>
      <w:r>
        <w:rPr>
          <w:color w:val="555558"/>
        </w:rPr>
        <w:t>ein Plus</w:t>
      </w:r>
      <w:r>
        <w:rPr>
          <w:color w:val="555558"/>
          <w:spacing w:val="-3"/>
        </w:rPr>
        <w:t xml:space="preserve"> </w:t>
      </w:r>
      <w:r>
        <w:rPr>
          <w:color w:val="555558"/>
        </w:rPr>
        <w:t>von</w:t>
      </w:r>
      <w:r>
        <w:rPr>
          <w:color w:val="555558"/>
          <w:spacing w:val="-1"/>
        </w:rPr>
        <w:t xml:space="preserve"> </w:t>
      </w:r>
      <w:r>
        <w:rPr>
          <w:color w:val="555558"/>
        </w:rPr>
        <w:t>31%</w:t>
      </w:r>
      <w:r>
        <w:rPr>
          <w:color w:val="555558"/>
          <w:spacing w:val="-2"/>
        </w:rPr>
        <w:t xml:space="preserve"> </w:t>
      </w:r>
      <w:r>
        <w:rPr>
          <w:color w:val="555558"/>
        </w:rPr>
        <w:t>im Vergleich zum Vorjahresquartal.</w:t>
      </w:r>
      <w:r w:rsidR="00005E07">
        <w:rPr>
          <w:color w:val="555558"/>
        </w:rPr>
        <w:t xml:space="preserve"> Darin enthalten war eine Auflösung von Rückstellungen für den Rechtsstreit um die Übernahme der Postbank AG von rund</w:t>
      </w:r>
      <w:r w:rsidR="00005E07">
        <w:rPr>
          <w:color w:val="555558"/>
          <w:spacing w:val="-1"/>
        </w:rPr>
        <w:t xml:space="preserve"> </w:t>
      </w:r>
      <w:r w:rsidR="00005E07">
        <w:rPr>
          <w:color w:val="555558"/>
        </w:rPr>
        <w:t>440 Mio.</w:t>
      </w:r>
      <w:r w:rsidR="00005E07">
        <w:rPr>
          <w:color w:val="555558"/>
          <w:spacing w:val="-3"/>
        </w:rPr>
        <w:t xml:space="preserve"> </w:t>
      </w:r>
      <w:r w:rsidR="00005E07">
        <w:rPr>
          <w:color w:val="555558"/>
        </w:rPr>
        <w:t>€, was die Fortschritte</w:t>
      </w:r>
      <w:r w:rsidR="00005E07">
        <w:rPr>
          <w:color w:val="555558"/>
          <w:spacing w:val="-1"/>
        </w:rPr>
        <w:t xml:space="preserve"> </w:t>
      </w:r>
      <w:r w:rsidR="00005E07">
        <w:rPr>
          <w:color w:val="555558"/>
        </w:rPr>
        <w:t>durch die erzielten Vergleiche widerspiegelt. Ohne Berücksichtigung dieser</w:t>
      </w:r>
      <w:r w:rsidR="00005E07">
        <w:rPr>
          <w:color w:val="555558"/>
          <w:spacing w:val="-6"/>
        </w:rPr>
        <w:t xml:space="preserve"> </w:t>
      </w:r>
      <w:r w:rsidR="00005E07">
        <w:rPr>
          <w:color w:val="555558"/>
        </w:rPr>
        <w:t>Auflösung</w:t>
      </w:r>
      <w:r w:rsidR="00005E07">
        <w:rPr>
          <w:color w:val="555558"/>
          <w:spacing w:val="-8"/>
        </w:rPr>
        <w:t xml:space="preserve"> </w:t>
      </w:r>
      <w:r w:rsidR="00005E07">
        <w:rPr>
          <w:color w:val="555558"/>
        </w:rPr>
        <w:t>stieg</w:t>
      </w:r>
      <w:r w:rsidR="00005E07">
        <w:rPr>
          <w:color w:val="555558"/>
          <w:spacing w:val="-8"/>
        </w:rPr>
        <w:t xml:space="preserve"> </w:t>
      </w:r>
      <w:r w:rsidR="00005E07">
        <w:rPr>
          <w:color w:val="555558"/>
        </w:rPr>
        <w:t>der</w:t>
      </w:r>
      <w:r w:rsidR="00005E07">
        <w:rPr>
          <w:color w:val="555558"/>
          <w:spacing w:val="-8"/>
        </w:rPr>
        <w:t xml:space="preserve"> </w:t>
      </w:r>
      <w:r w:rsidR="00005E07">
        <w:rPr>
          <w:color w:val="555558"/>
        </w:rPr>
        <w:t>Vorsteuergewinn</w:t>
      </w:r>
      <w:r w:rsidR="00005E07">
        <w:rPr>
          <w:color w:val="555558"/>
          <w:spacing w:val="-8"/>
        </w:rPr>
        <w:t xml:space="preserve"> </w:t>
      </w:r>
      <w:r w:rsidR="00005E07">
        <w:rPr>
          <w:color w:val="555558"/>
        </w:rPr>
        <w:t>um</w:t>
      </w:r>
      <w:r w:rsidR="00005E07">
        <w:rPr>
          <w:color w:val="555558"/>
          <w:spacing w:val="-9"/>
        </w:rPr>
        <w:t xml:space="preserve"> </w:t>
      </w:r>
      <w:r w:rsidR="00005E07">
        <w:rPr>
          <w:color w:val="555558"/>
        </w:rPr>
        <w:t>6%</w:t>
      </w:r>
      <w:r w:rsidR="00005E07">
        <w:rPr>
          <w:color w:val="555558"/>
          <w:spacing w:val="-9"/>
        </w:rPr>
        <w:t xml:space="preserve"> </w:t>
      </w:r>
      <w:r w:rsidR="00005E07">
        <w:rPr>
          <w:color w:val="555558"/>
        </w:rPr>
        <w:t>auf</w:t>
      </w:r>
      <w:r w:rsidR="00005E07">
        <w:rPr>
          <w:color w:val="555558"/>
          <w:spacing w:val="-8"/>
        </w:rPr>
        <w:t xml:space="preserve"> </w:t>
      </w:r>
      <w:r w:rsidR="00005E07">
        <w:rPr>
          <w:color w:val="555558"/>
        </w:rPr>
        <w:t>einen</w:t>
      </w:r>
      <w:r w:rsidR="00005E07">
        <w:rPr>
          <w:color w:val="555558"/>
          <w:spacing w:val="-5"/>
        </w:rPr>
        <w:t xml:space="preserve"> </w:t>
      </w:r>
      <w:r w:rsidR="00005E07">
        <w:rPr>
          <w:color w:val="555558"/>
        </w:rPr>
        <w:t>Rekordwert</w:t>
      </w:r>
      <w:r w:rsidR="00005E07">
        <w:rPr>
          <w:color w:val="555558"/>
          <w:spacing w:val="-8"/>
        </w:rPr>
        <w:t xml:space="preserve"> </w:t>
      </w:r>
      <w:r w:rsidR="00005E07">
        <w:rPr>
          <w:color w:val="555558"/>
        </w:rPr>
        <w:t>für</w:t>
      </w:r>
      <w:r w:rsidR="00005E07">
        <w:rPr>
          <w:color w:val="555558"/>
          <w:spacing w:val="-8"/>
        </w:rPr>
        <w:t xml:space="preserve"> </w:t>
      </w:r>
      <w:r w:rsidR="00005E07">
        <w:rPr>
          <w:color w:val="555558"/>
        </w:rPr>
        <w:t>ein</w:t>
      </w:r>
      <w:r w:rsidR="00005E07">
        <w:rPr>
          <w:color w:val="555558"/>
          <w:spacing w:val="-8"/>
        </w:rPr>
        <w:t xml:space="preserve"> </w:t>
      </w:r>
      <w:r w:rsidR="00005E07">
        <w:rPr>
          <w:color w:val="555558"/>
        </w:rPr>
        <w:t>drittes</w:t>
      </w:r>
      <w:r w:rsidR="00005E07">
        <w:rPr>
          <w:color w:val="555558"/>
          <w:spacing w:val="-5"/>
        </w:rPr>
        <w:t xml:space="preserve"> </w:t>
      </w:r>
      <w:r w:rsidR="00005E07">
        <w:rPr>
          <w:color w:val="555558"/>
        </w:rPr>
        <w:t>Quartal</w:t>
      </w:r>
      <w:r w:rsidR="00005E07">
        <w:rPr>
          <w:color w:val="555558"/>
          <w:spacing w:val="-9"/>
        </w:rPr>
        <w:t xml:space="preserve"> </w:t>
      </w:r>
      <w:r w:rsidR="00005E07">
        <w:rPr>
          <w:color w:val="555558"/>
        </w:rPr>
        <w:t>von</w:t>
      </w:r>
      <w:r w:rsidR="00005E07">
        <w:rPr>
          <w:color w:val="555558"/>
          <w:spacing w:val="-8"/>
        </w:rPr>
        <w:t xml:space="preserve"> </w:t>
      </w:r>
      <w:r w:rsidR="00005E07">
        <w:rPr>
          <w:color w:val="555558"/>
        </w:rPr>
        <w:t>1,8</w:t>
      </w:r>
      <w:r w:rsidR="00005E07">
        <w:rPr>
          <w:color w:val="555558"/>
          <w:spacing w:val="9"/>
        </w:rPr>
        <w:t xml:space="preserve"> </w:t>
      </w:r>
      <w:r w:rsidR="00005E07">
        <w:rPr>
          <w:color w:val="555558"/>
        </w:rPr>
        <w:t>Mrd.</w:t>
      </w:r>
      <w:r w:rsidR="00005E07">
        <w:rPr>
          <w:color w:val="555558"/>
          <w:spacing w:val="-3"/>
        </w:rPr>
        <w:t xml:space="preserve"> </w:t>
      </w:r>
      <w:r w:rsidR="00005E07">
        <w:rPr>
          <w:color w:val="555558"/>
        </w:rPr>
        <w:t>€,</w:t>
      </w:r>
      <w:r w:rsidR="00005E07">
        <w:rPr>
          <w:color w:val="555558"/>
          <w:spacing w:val="-8"/>
        </w:rPr>
        <w:t xml:space="preserve"> </w:t>
      </w:r>
      <w:r w:rsidR="00005E07">
        <w:rPr>
          <w:color w:val="555558"/>
        </w:rPr>
        <w:t>verglichen</w:t>
      </w:r>
      <w:r w:rsidR="00005E07">
        <w:rPr>
          <w:color w:val="555558"/>
          <w:spacing w:val="-5"/>
        </w:rPr>
        <w:t xml:space="preserve"> </w:t>
      </w:r>
      <w:r w:rsidR="00005E07">
        <w:rPr>
          <w:color w:val="555558"/>
        </w:rPr>
        <w:t>mit 1,7 Mrd.</w:t>
      </w:r>
      <w:r w:rsidR="00005E07">
        <w:rPr>
          <w:color w:val="555558"/>
          <w:spacing w:val="-2"/>
        </w:rPr>
        <w:t xml:space="preserve"> </w:t>
      </w:r>
      <w:r w:rsidR="00005E07">
        <w:rPr>
          <w:color w:val="555558"/>
        </w:rPr>
        <w:t>€ im Vorjahreszeitraum. Der Nachsteuergewinn lag mit 1,7 Mrd.</w:t>
      </w:r>
      <w:r w:rsidR="00005E07">
        <w:rPr>
          <w:color w:val="555558"/>
          <w:spacing w:val="-2"/>
        </w:rPr>
        <w:t xml:space="preserve"> </w:t>
      </w:r>
      <w:r w:rsidR="00005E07">
        <w:rPr>
          <w:color w:val="555558"/>
        </w:rPr>
        <w:t>€ um 39% über dem Ergebnis im Vergleichszeitraum. Ohne die erwähnte Auflösung von Rückstellungen lag der Nachsteuergewinn bei 1,3 Mrd.</w:t>
      </w:r>
      <w:r w:rsidR="00005E07">
        <w:rPr>
          <w:color w:val="555558"/>
          <w:spacing w:val="-2"/>
        </w:rPr>
        <w:t xml:space="preserve"> </w:t>
      </w:r>
      <w:r w:rsidR="00005E07">
        <w:rPr>
          <w:color w:val="555558"/>
        </w:rPr>
        <w:t>€, ein Plus von 8% verglichen mit dem Nachsteuergewinn von 1,2 Mrd. € im dritten Quartal 2023.</w:t>
      </w:r>
    </w:p>
    <w:p w:rsidR="00005E07" w:rsidRDefault="00005E07" w:rsidP="00005E07">
      <w:pPr>
        <w:pStyle w:val="Textkrper"/>
        <w:spacing w:after="120" w:line="264" w:lineRule="auto"/>
        <w:jc w:val="both"/>
      </w:pPr>
      <w:r>
        <w:rPr>
          <w:color w:val="555558"/>
        </w:rPr>
        <w:t>Die Nachsteuerrendite auf das durchschnittliche Eigenkapital (</w:t>
      </w:r>
      <w:proofErr w:type="spellStart"/>
      <w:r>
        <w:rPr>
          <w:color w:val="555558"/>
        </w:rPr>
        <w:t>RoE</w:t>
      </w:r>
      <w:proofErr w:type="spellEnd"/>
      <w:r>
        <w:rPr>
          <w:color w:val="555558"/>
        </w:rPr>
        <w:t>) lag im Berichtsquartal bei 9,1%, verglichen mit 6,5% im Vorjahreszeitraum. Die Nachsteuerrendite auf das durchschnittliche materielle Eigenkapital (</w:t>
      </w:r>
      <w:proofErr w:type="spellStart"/>
      <w:r>
        <w:rPr>
          <w:color w:val="555558"/>
        </w:rPr>
        <w:t>RoTE</w:t>
      </w:r>
      <w:proofErr w:type="spellEnd"/>
      <w:r>
        <w:rPr>
          <w:color w:val="555558"/>
        </w:rPr>
        <w:t>) belief sich im dritten Quartal auf 10,2% bzw. 7,6%, wenn man die Auflösung von Postbank-Rückstellungen ausklammert. Im Vorjahresquartal betrug</w:t>
      </w:r>
      <w:r>
        <w:rPr>
          <w:color w:val="555558"/>
          <w:spacing w:val="-1"/>
        </w:rPr>
        <w:t xml:space="preserve"> </w:t>
      </w:r>
      <w:r>
        <w:rPr>
          <w:color w:val="555558"/>
        </w:rPr>
        <w:t xml:space="preserve">die </w:t>
      </w:r>
      <w:proofErr w:type="spellStart"/>
      <w:r>
        <w:rPr>
          <w:color w:val="555558"/>
        </w:rPr>
        <w:t>RoTE</w:t>
      </w:r>
      <w:proofErr w:type="spellEnd"/>
      <w:r>
        <w:rPr>
          <w:color w:val="555558"/>
          <w:spacing w:val="-1"/>
        </w:rPr>
        <w:t xml:space="preserve"> </w:t>
      </w:r>
      <w:r>
        <w:rPr>
          <w:color w:val="555558"/>
        </w:rPr>
        <w:t>7,3%.</w:t>
      </w:r>
      <w:r>
        <w:rPr>
          <w:color w:val="555558"/>
          <w:spacing w:val="-1"/>
        </w:rPr>
        <w:t xml:space="preserve"> </w:t>
      </w:r>
      <w:r>
        <w:rPr>
          <w:color w:val="555558"/>
        </w:rPr>
        <w:t>Die Aufwand-Ertrag-Relation lag</w:t>
      </w:r>
      <w:r>
        <w:rPr>
          <w:color w:val="555558"/>
          <w:spacing w:val="-1"/>
        </w:rPr>
        <w:t xml:space="preserve"> </w:t>
      </w:r>
      <w:r>
        <w:rPr>
          <w:color w:val="555558"/>
        </w:rPr>
        <w:t>bei</w:t>
      </w:r>
      <w:r>
        <w:rPr>
          <w:color w:val="555558"/>
          <w:spacing w:val="-1"/>
        </w:rPr>
        <w:t xml:space="preserve"> </w:t>
      </w:r>
      <w:r>
        <w:rPr>
          <w:color w:val="555558"/>
        </w:rPr>
        <w:t>63%, nach</w:t>
      </w:r>
      <w:r>
        <w:rPr>
          <w:color w:val="555558"/>
          <w:spacing w:val="-1"/>
        </w:rPr>
        <w:t xml:space="preserve"> </w:t>
      </w:r>
      <w:r>
        <w:rPr>
          <w:color w:val="555558"/>
        </w:rPr>
        <w:t>72%</w:t>
      </w:r>
      <w:r>
        <w:rPr>
          <w:color w:val="555558"/>
          <w:spacing w:val="-1"/>
        </w:rPr>
        <w:t xml:space="preserve"> </w:t>
      </w:r>
      <w:r>
        <w:rPr>
          <w:color w:val="555558"/>
        </w:rPr>
        <w:t>in Vorjahresquartal. Bereinigt</w:t>
      </w:r>
      <w:r>
        <w:rPr>
          <w:color w:val="555558"/>
          <w:spacing w:val="-1"/>
        </w:rPr>
        <w:t xml:space="preserve"> </w:t>
      </w:r>
      <w:r>
        <w:rPr>
          <w:color w:val="555558"/>
        </w:rPr>
        <w:t>um</w:t>
      </w:r>
      <w:r>
        <w:rPr>
          <w:color w:val="555558"/>
          <w:spacing w:val="-2"/>
        </w:rPr>
        <w:t xml:space="preserve"> </w:t>
      </w:r>
      <w:r>
        <w:rPr>
          <w:color w:val="555558"/>
        </w:rPr>
        <w:t>die</w:t>
      </w:r>
      <w:r>
        <w:rPr>
          <w:color w:val="555558"/>
          <w:spacing w:val="-1"/>
        </w:rPr>
        <w:t xml:space="preserve"> </w:t>
      </w:r>
      <w:r>
        <w:rPr>
          <w:color w:val="555558"/>
        </w:rPr>
        <w:t>Auflösung von Postbank-Rückstellungen lag die Aufwand-Ertrag-Relation im Berichtsquartal bei 69%.</w:t>
      </w:r>
    </w:p>
    <w:p w:rsidR="00005E07" w:rsidRDefault="00005E07" w:rsidP="00005E07">
      <w:pPr>
        <w:pStyle w:val="Textkrper"/>
        <w:spacing w:after="120" w:line="264" w:lineRule="auto"/>
      </w:pPr>
    </w:p>
    <w:p w:rsidR="00005E07" w:rsidRDefault="00005E07" w:rsidP="00005E07">
      <w:pPr>
        <w:spacing w:after="120" w:line="264" w:lineRule="auto"/>
        <w:jc w:val="both"/>
        <w:rPr>
          <w:sz w:val="25"/>
        </w:rPr>
      </w:pPr>
      <w:bookmarkStart w:id="1" w:name="Weitere_Fortschritte_bei_der_Umsetzung_d"/>
      <w:bookmarkEnd w:id="1"/>
      <w:r>
        <w:rPr>
          <w:color w:val="009BDC"/>
          <w:sz w:val="25"/>
        </w:rPr>
        <w:t>Weitere</w:t>
      </w:r>
      <w:r>
        <w:rPr>
          <w:color w:val="009BDC"/>
          <w:spacing w:val="22"/>
          <w:sz w:val="25"/>
        </w:rPr>
        <w:t xml:space="preserve"> </w:t>
      </w:r>
      <w:r>
        <w:rPr>
          <w:color w:val="009BDC"/>
          <w:sz w:val="25"/>
        </w:rPr>
        <w:t>Fortschritte</w:t>
      </w:r>
      <w:r>
        <w:rPr>
          <w:color w:val="009BDC"/>
          <w:spacing w:val="20"/>
          <w:sz w:val="25"/>
        </w:rPr>
        <w:t xml:space="preserve"> </w:t>
      </w:r>
      <w:r>
        <w:rPr>
          <w:color w:val="009BDC"/>
          <w:sz w:val="25"/>
        </w:rPr>
        <w:t>bei</w:t>
      </w:r>
      <w:r>
        <w:rPr>
          <w:color w:val="009BDC"/>
          <w:spacing w:val="23"/>
          <w:sz w:val="25"/>
        </w:rPr>
        <w:t xml:space="preserve"> </w:t>
      </w:r>
      <w:r>
        <w:rPr>
          <w:color w:val="009BDC"/>
          <w:sz w:val="25"/>
        </w:rPr>
        <w:t>der</w:t>
      </w:r>
      <w:r>
        <w:rPr>
          <w:color w:val="009BDC"/>
          <w:spacing w:val="25"/>
          <w:sz w:val="25"/>
        </w:rPr>
        <w:t xml:space="preserve"> </w:t>
      </w:r>
      <w:r>
        <w:rPr>
          <w:color w:val="009BDC"/>
          <w:sz w:val="25"/>
        </w:rPr>
        <w:t>Umsetzung</w:t>
      </w:r>
      <w:r>
        <w:rPr>
          <w:color w:val="009BDC"/>
          <w:spacing w:val="23"/>
          <w:sz w:val="25"/>
        </w:rPr>
        <w:t xml:space="preserve"> </w:t>
      </w:r>
      <w:r>
        <w:rPr>
          <w:color w:val="009BDC"/>
          <w:sz w:val="25"/>
        </w:rPr>
        <w:t>der</w:t>
      </w:r>
      <w:r>
        <w:rPr>
          <w:color w:val="009BDC"/>
          <w:spacing w:val="24"/>
          <w:sz w:val="25"/>
        </w:rPr>
        <w:t xml:space="preserve"> </w:t>
      </w:r>
      <w:r>
        <w:rPr>
          <w:color w:val="009BDC"/>
          <w:sz w:val="25"/>
        </w:rPr>
        <w:t>„</w:t>
      </w:r>
      <w:r>
        <w:rPr>
          <w:rFonts w:ascii="Georgia" w:hAnsi="Georgia"/>
          <w:i/>
          <w:color w:val="009BDC"/>
          <w:sz w:val="25"/>
        </w:rPr>
        <w:t>Globale</w:t>
      </w:r>
      <w:r>
        <w:rPr>
          <w:rFonts w:ascii="Georgia" w:hAnsi="Georgia"/>
          <w:i/>
          <w:color w:val="009BDC"/>
          <w:spacing w:val="33"/>
          <w:sz w:val="25"/>
        </w:rPr>
        <w:t xml:space="preserve"> </w:t>
      </w:r>
      <w:r>
        <w:rPr>
          <w:rFonts w:ascii="Georgia" w:hAnsi="Georgia"/>
          <w:i/>
          <w:color w:val="009BDC"/>
          <w:sz w:val="25"/>
        </w:rPr>
        <w:t>Hausbank</w:t>
      </w:r>
      <w:r>
        <w:rPr>
          <w:color w:val="009BDC"/>
          <w:sz w:val="25"/>
        </w:rPr>
        <w:t>“-</w:t>
      </w:r>
      <w:r>
        <w:rPr>
          <w:color w:val="009BDC"/>
          <w:spacing w:val="-2"/>
          <w:sz w:val="25"/>
        </w:rPr>
        <w:t>Strategie</w:t>
      </w:r>
    </w:p>
    <w:p w:rsidR="00005E07" w:rsidRPr="00005E07" w:rsidRDefault="00005E07" w:rsidP="00005E07">
      <w:pPr>
        <w:spacing w:after="120" w:line="264" w:lineRule="auto"/>
        <w:jc w:val="both"/>
        <w:rPr>
          <w:color w:val="555558"/>
          <w:w w:val="105"/>
          <w:sz w:val="18"/>
        </w:rPr>
      </w:pPr>
      <w:r>
        <w:rPr>
          <w:color w:val="555558"/>
          <w:spacing w:val="-2"/>
          <w:w w:val="105"/>
          <w:sz w:val="18"/>
        </w:rPr>
        <w:t>Die Deutsche Bank blieb im</w:t>
      </w:r>
      <w:r>
        <w:rPr>
          <w:color w:val="555558"/>
          <w:spacing w:val="-4"/>
          <w:w w:val="105"/>
          <w:sz w:val="18"/>
        </w:rPr>
        <w:t xml:space="preserve"> </w:t>
      </w:r>
      <w:r>
        <w:rPr>
          <w:color w:val="555558"/>
          <w:spacing w:val="-2"/>
          <w:w w:val="105"/>
          <w:sz w:val="18"/>
        </w:rPr>
        <w:t>dritten Quartal</w:t>
      </w:r>
      <w:r>
        <w:rPr>
          <w:color w:val="555558"/>
          <w:spacing w:val="-3"/>
          <w:w w:val="105"/>
          <w:sz w:val="18"/>
        </w:rPr>
        <w:t xml:space="preserve"> </w:t>
      </w:r>
      <w:r>
        <w:rPr>
          <w:color w:val="555558"/>
          <w:spacing w:val="-2"/>
          <w:w w:val="105"/>
          <w:sz w:val="18"/>
        </w:rPr>
        <w:t>bei der beschleunigten Umsetzung ihrer „</w:t>
      </w:r>
      <w:r>
        <w:rPr>
          <w:i/>
          <w:color w:val="555558"/>
          <w:spacing w:val="-2"/>
          <w:w w:val="105"/>
          <w:sz w:val="18"/>
        </w:rPr>
        <w:t>Globale Hausbank</w:t>
      </w:r>
      <w:r>
        <w:rPr>
          <w:color w:val="555558"/>
          <w:spacing w:val="-2"/>
          <w:w w:val="105"/>
          <w:sz w:val="18"/>
        </w:rPr>
        <w:t xml:space="preserve">“-Strategie </w:t>
      </w:r>
      <w:r>
        <w:rPr>
          <w:color w:val="555558"/>
          <w:w w:val="105"/>
          <w:sz w:val="18"/>
        </w:rPr>
        <w:t>auf</w:t>
      </w:r>
      <w:r>
        <w:rPr>
          <w:color w:val="555558"/>
          <w:spacing w:val="-9"/>
          <w:w w:val="105"/>
          <w:sz w:val="18"/>
        </w:rPr>
        <w:t xml:space="preserve"> </w:t>
      </w:r>
      <w:r>
        <w:rPr>
          <w:color w:val="555558"/>
          <w:w w:val="105"/>
          <w:sz w:val="18"/>
        </w:rPr>
        <w:t>Kurs:</w:t>
      </w:r>
    </w:p>
    <w:p w:rsidR="00005E07" w:rsidRPr="00005E07" w:rsidRDefault="00005E07" w:rsidP="00005E07">
      <w:pPr>
        <w:tabs>
          <w:tab w:val="left" w:pos="645"/>
        </w:tabs>
        <w:spacing w:after="120" w:line="264" w:lineRule="auto"/>
        <w:jc w:val="both"/>
        <w:rPr>
          <w:sz w:val="17"/>
        </w:rPr>
      </w:pPr>
      <w:r w:rsidRPr="00005E07">
        <w:rPr>
          <w:sz w:val="17"/>
        </w:rPr>
        <w:t>Ertragswachstum</w:t>
      </w:r>
      <w:r w:rsidRPr="00005E07">
        <w:rPr>
          <w:color w:val="555558"/>
          <w:sz w:val="17"/>
        </w:rPr>
        <w:t>: Die Erträge stiegen im Vergleich zum Vorjahresquartal um 5% auf 7,5 Mrd.</w:t>
      </w:r>
      <w:r w:rsidRPr="00005E07">
        <w:rPr>
          <w:color w:val="555558"/>
          <w:spacing w:val="-1"/>
          <w:sz w:val="17"/>
        </w:rPr>
        <w:t xml:space="preserve"> </w:t>
      </w:r>
      <w:r w:rsidRPr="00005E07">
        <w:rPr>
          <w:color w:val="555558"/>
          <w:sz w:val="17"/>
        </w:rPr>
        <w:t>€. Dabei wurde beim Provisionsüberschuss ein Wachstum von 5% verzeichnet, während der Zinsüberschuss in den Kernsegmenten des Bankbuchs im Wesentlichen stabil blieb. In den vergangenen zwölf Monaten verzeichnete die Bank im Vergleich zum Gesamtjahr</w:t>
      </w:r>
      <w:r w:rsidRPr="00005E07">
        <w:rPr>
          <w:color w:val="555558"/>
          <w:spacing w:val="-12"/>
          <w:sz w:val="17"/>
        </w:rPr>
        <w:t xml:space="preserve"> </w:t>
      </w:r>
      <w:r w:rsidRPr="00005E07">
        <w:rPr>
          <w:color w:val="555558"/>
          <w:sz w:val="17"/>
        </w:rPr>
        <w:t>2021</w:t>
      </w:r>
      <w:r w:rsidRPr="00005E07">
        <w:rPr>
          <w:color w:val="555558"/>
          <w:spacing w:val="-10"/>
          <w:sz w:val="17"/>
        </w:rPr>
        <w:t xml:space="preserve"> </w:t>
      </w:r>
      <w:r w:rsidRPr="00005E07">
        <w:rPr>
          <w:color w:val="555558"/>
          <w:sz w:val="17"/>
        </w:rPr>
        <w:t>ein</w:t>
      </w:r>
      <w:r w:rsidRPr="00005E07">
        <w:rPr>
          <w:color w:val="555558"/>
          <w:spacing w:val="-11"/>
          <w:sz w:val="17"/>
        </w:rPr>
        <w:t xml:space="preserve"> </w:t>
      </w:r>
      <w:r w:rsidRPr="00005E07">
        <w:rPr>
          <w:color w:val="555558"/>
          <w:sz w:val="17"/>
        </w:rPr>
        <w:t>durchschnittliches</w:t>
      </w:r>
      <w:r w:rsidRPr="00005E07">
        <w:rPr>
          <w:color w:val="555558"/>
          <w:spacing w:val="-9"/>
          <w:sz w:val="17"/>
        </w:rPr>
        <w:t xml:space="preserve"> </w:t>
      </w:r>
      <w:r w:rsidRPr="00005E07">
        <w:rPr>
          <w:color w:val="555558"/>
          <w:sz w:val="17"/>
        </w:rPr>
        <w:t>jährliches</w:t>
      </w:r>
      <w:r w:rsidRPr="00005E07">
        <w:rPr>
          <w:color w:val="555558"/>
          <w:spacing w:val="-9"/>
          <w:sz w:val="17"/>
        </w:rPr>
        <w:t xml:space="preserve"> </w:t>
      </w:r>
      <w:r w:rsidRPr="00005E07">
        <w:rPr>
          <w:color w:val="555558"/>
          <w:sz w:val="17"/>
        </w:rPr>
        <w:t>Ertragswachstum</w:t>
      </w:r>
      <w:r w:rsidRPr="00005E07">
        <w:rPr>
          <w:color w:val="555558"/>
          <w:spacing w:val="-10"/>
          <w:sz w:val="17"/>
        </w:rPr>
        <w:t xml:space="preserve"> </w:t>
      </w:r>
      <w:r w:rsidRPr="00005E07">
        <w:rPr>
          <w:color w:val="555558"/>
          <w:sz w:val="17"/>
        </w:rPr>
        <w:t>von</w:t>
      </w:r>
      <w:r w:rsidRPr="00005E07">
        <w:rPr>
          <w:color w:val="555558"/>
          <w:spacing w:val="-11"/>
          <w:sz w:val="17"/>
        </w:rPr>
        <w:t xml:space="preserve"> </w:t>
      </w:r>
      <w:r w:rsidRPr="00005E07">
        <w:rPr>
          <w:color w:val="555558"/>
          <w:sz w:val="17"/>
        </w:rPr>
        <w:t>5,6%.</w:t>
      </w:r>
      <w:r w:rsidRPr="00005E07">
        <w:rPr>
          <w:color w:val="555558"/>
          <w:spacing w:val="-10"/>
          <w:sz w:val="17"/>
        </w:rPr>
        <w:t xml:space="preserve"> </w:t>
      </w:r>
      <w:r w:rsidRPr="00005E07">
        <w:rPr>
          <w:color w:val="555558"/>
          <w:sz w:val="17"/>
        </w:rPr>
        <w:t>Die</w:t>
      </w:r>
      <w:r w:rsidRPr="00005E07">
        <w:rPr>
          <w:color w:val="555558"/>
          <w:spacing w:val="-9"/>
          <w:sz w:val="17"/>
        </w:rPr>
        <w:t xml:space="preserve"> </w:t>
      </w:r>
      <w:r w:rsidRPr="00005E07">
        <w:rPr>
          <w:color w:val="555558"/>
          <w:sz w:val="17"/>
        </w:rPr>
        <w:t>Wachstumsrate</w:t>
      </w:r>
      <w:r w:rsidRPr="00005E07">
        <w:rPr>
          <w:color w:val="555558"/>
          <w:spacing w:val="-9"/>
          <w:sz w:val="17"/>
        </w:rPr>
        <w:t xml:space="preserve"> </w:t>
      </w:r>
      <w:r w:rsidRPr="00005E07">
        <w:rPr>
          <w:color w:val="555558"/>
          <w:sz w:val="17"/>
        </w:rPr>
        <w:t>lag</w:t>
      </w:r>
      <w:r w:rsidRPr="00005E07">
        <w:rPr>
          <w:color w:val="555558"/>
          <w:spacing w:val="-11"/>
          <w:sz w:val="17"/>
        </w:rPr>
        <w:t xml:space="preserve"> </w:t>
      </w:r>
      <w:r w:rsidRPr="00005E07">
        <w:rPr>
          <w:color w:val="555558"/>
          <w:sz w:val="17"/>
        </w:rPr>
        <w:t>damit</w:t>
      </w:r>
      <w:r w:rsidRPr="00005E07">
        <w:rPr>
          <w:color w:val="555558"/>
          <w:spacing w:val="-9"/>
          <w:sz w:val="17"/>
        </w:rPr>
        <w:t xml:space="preserve"> </w:t>
      </w:r>
      <w:r w:rsidRPr="00005E07">
        <w:rPr>
          <w:color w:val="555558"/>
          <w:sz w:val="17"/>
        </w:rPr>
        <w:t>innerhalb</w:t>
      </w:r>
      <w:r w:rsidRPr="00005E07">
        <w:rPr>
          <w:color w:val="555558"/>
          <w:spacing w:val="-9"/>
          <w:sz w:val="17"/>
        </w:rPr>
        <w:t xml:space="preserve"> </w:t>
      </w:r>
      <w:r w:rsidRPr="00005E07">
        <w:rPr>
          <w:color w:val="555558"/>
          <w:sz w:val="17"/>
        </w:rPr>
        <w:t>der angehobenen Zielspanne von 5,5% bis 6,5%.</w:t>
      </w:r>
    </w:p>
    <w:p w:rsidR="00005E07" w:rsidRPr="00005E07" w:rsidRDefault="00005E07" w:rsidP="00005E07">
      <w:pPr>
        <w:tabs>
          <w:tab w:val="left" w:pos="645"/>
        </w:tabs>
        <w:spacing w:after="120" w:line="264" w:lineRule="auto"/>
        <w:jc w:val="both"/>
        <w:rPr>
          <w:sz w:val="17"/>
        </w:rPr>
      </w:pPr>
      <w:r w:rsidRPr="00005E07">
        <w:rPr>
          <w:sz w:val="17"/>
        </w:rPr>
        <w:t>Operative</w:t>
      </w:r>
      <w:r w:rsidRPr="00005E07">
        <w:rPr>
          <w:spacing w:val="-9"/>
          <w:sz w:val="17"/>
        </w:rPr>
        <w:t xml:space="preserve"> </w:t>
      </w:r>
      <w:r w:rsidRPr="00005E07">
        <w:rPr>
          <w:sz w:val="17"/>
        </w:rPr>
        <w:t>Effizienz</w:t>
      </w:r>
      <w:r w:rsidRPr="00005E07">
        <w:rPr>
          <w:color w:val="555558"/>
          <w:sz w:val="17"/>
        </w:rPr>
        <w:t>:</w:t>
      </w:r>
      <w:r w:rsidRPr="00005E07">
        <w:rPr>
          <w:color w:val="555558"/>
          <w:spacing w:val="-9"/>
          <w:sz w:val="17"/>
        </w:rPr>
        <w:t xml:space="preserve"> </w:t>
      </w:r>
      <w:r w:rsidRPr="00005E07">
        <w:rPr>
          <w:color w:val="555558"/>
          <w:sz w:val="17"/>
        </w:rPr>
        <w:t>Die</w:t>
      </w:r>
      <w:r w:rsidRPr="00005E07">
        <w:rPr>
          <w:color w:val="555558"/>
          <w:spacing w:val="-9"/>
          <w:sz w:val="17"/>
        </w:rPr>
        <w:t xml:space="preserve"> </w:t>
      </w:r>
      <w:r w:rsidRPr="00005E07">
        <w:rPr>
          <w:color w:val="555558"/>
          <w:sz w:val="17"/>
        </w:rPr>
        <w:t>Bank</w:t>
      </w:r>
      <w:r w:rsidRPr="00005E07">
        <w:rPr>
          <w:color w:val="555558"/>
          <w:spacing w:val="-11"/>
          <w:sz w:val="17"/>
        </w:rPr>
        <w:t xml:space="preserve"> </w:t>
      </w:r>
      <w:r w:rsidRPr="00005E07">
        <w:rPr>
          <w:color w:val="555558"/>
          <w:sz w:val="17"/>
        </w:rPr>
        <w:t>hat</w:t>
      </w:r>
      <w:r w:rsidRPr="00005E07">
        <w:rPr>
          <w:color w:val="555558"/>
          <w:spacing w:val="-9"/>
          <w:sz w:val="17"/>
        </w:rPr>
        <w:t xml:space="preserve"> </w:t>
      </w:r>
      <w:r w:rsidRPr="00005E07">
        <w:rPr>
          <w:color w:val="555558"/>
          <w:sz w:val="17"/>
        </w:rPr>
        <w:t>weitere</w:t>
      </w:r>
      <w:r w:rsidRPr="00005E07">
        <w:rPr>
          <w:color w:val="555558"/>
          <w:spacing w:val="-11"/>
          <w:sz w:val="17"/>
        </w:rPr>
        <w:t xml:space="preserve"> </w:t>
      </w:r>
      <w:r w:rsidRPr="00005E07">
        <w:rPr>
          <w:color w:val="555558"/>
          <w:sz w:val="17"/>
        </w:rPr>
        <w:t>Fortschritte</w:t>
      </w:r>
      <w:r w:rsidRPr="00005E07">
        <w:rPr>
          <w:color w:val="555558"/>
          <w:spacing w:val="-11"/>
          <w:sz w:val="17"/>
        </w:rPr>
        <w:t xml:space="preserve"> </w:t>
      </w:r>
      <w:r w:rsidRPr="00005E07">
        <w:rPr>
          <w:color w:val="555558"/>
          <w:sz w:val="17"/>
        </w:rPr>
        <w:t>bei</w:t>
      </w:r>
      <w:r w:rsidRPr="00005E07">
        <w:rPr>
          <w:color w:val="555558"/>
          <w:spacing w:val="-12"/>
          <w:sz w:val="17"/>
        </w:rPr>
        <w:t xml:space="preserve"> </w:t>
      </w:r>
      <w:r w:rsidRPr="00005E07">
        <w:rPr>
          <w:color w:val="555558"/>
          <w:sz w:val="17"/>
        </w:rPr>
        <w:t>ihrem</w:t>
      </w:r>
      <w:r w:rsidRPr="00005E07">
        <w:rPr>
          <w:color w:val="555558"/>
          <w:spacing w:val="-12"/>
          <w:sz w:val="17"/>
        </w:rPr>
        <w:t xml:space="preserve"> </w:t>
      </w:r>
      <w:r w:rsidRPr="00005E07">
        <w:rPr>
          <w:color w:val="555558"/>
          <w:sz w:val="17"/>
        </w:rPr>
        <w:t>operativen</w:t>
      </w:r>
      <w:r w:rsidRPr="00005E07">
        <w:rPr>
          <w:color w:val="555558"/>
          <w:spacing w:val="-8"/>
          <w:sz w:val="17"/>
        </w:rPr>
        <w:t xml:space="preserve"> </w:t>
      </w:r>
      <w:r w:rsidRPr="00005E07">
        <w:rPr>
          <w:color w:val="555558"/>
          <w:sz w:val="17"/>
        </w:rPr>
        <w:t>Effizienzprogramm</w:t>
      </w:r>
      <w:r w:rsidRPr="00005E07">
        <w:rPr>
          <w:color w:val="555558"/>
          <w:spacing w:val="-12"/>
          <w:sz w:val="17"/>
        </w:rPr>
        <w:t xml:space="preserve"> </w:t>
      </w:r>
      <w:r w:rsidRPr="00005E07">
        <w:rPr>
          <w:color w:val="555558"/>
          <w:sz w:val="17"/>
        </w:rPr>
        <w:t>über</w:t>
      </w:r>
      <w:r w:rsidRPr="00005E07">
        <w:rPr>
          <w:color w:val="555558"/>
          <w:spacing w:val="-11"/>
          <w:sz w:val="17"/>
        </w:rPr>
        <w:t xml:space="preserve"> </w:t>
      </w:r>
      <w:r w:rsidRPr="00005E07">
        <w:rPr>
          <w:color w:val="555558"/>
          <w:sz w:val="17"/>
        </w:rPr>
        <w:t>2,5</w:t>
      </w:r>
      <w:r w:rsidRPr="00005E07">
        <w:rPr>
          <w:color w:val="555558"/>
          <w:spacing w:val="7"/>
          <w:sz w:val="17"/>
        </w:rPr>
        <w:t xml:space="preserve"> </w:t>
      </w:r>
      <w:r w:rsidRPr="00005E07">
        <w:rPr>
          <w:color w:val="555558"/>
          <w:sz w:val="17"/>
        </w:rPr>
        <w:t>Mrd.</w:t>
      </w:r>
      <w:r w:rsidRPr="00005E07">
        <w:rPr>
          <w:color w:val="555558"/>
          <w:spacing w:val="-4"/>
          <w:sz w:val="17"/>
        </w:rPr>
        <w:t xml:space="preserve"> </w:t>
      </w:r>
      <w:r w:rsidRPr="00005E07">
        <w:rPr>
          <w:color w:val="555558"/>
          <w:sz w:val="17"/>
        </w:rPr>
        <w:t>€</w:t>
      </w:r>
      <w:r w:rsidRPr="00005E07">
        <w:rPr>
          <w:color w:val="555558"/>
          <w:spacing w:val="-11"/>
          <w:sz w:val="17"/>
        </w:rPr>
        <w:t xml:space="preserve"> </w:t>
      </w:r>
      <w:r w:rsidRPr="00005E07">
        <w:rPr>
          <w:color w:val="555558"/>
          <w:sz w:val="17"/>
        </w:rPr>
        <w:t>erzielt.</w:t>
      </w:r>
      <w:r w:rsidRPr="00005E07">
        <w:rPr>
          <w:color w:val="555558"/>
          <w:spacing w:val="-12"/>
          <w:sz w:val="17"/>
        </w:rPr>
        <w:t xml:space="preserve"> </w:t>
      </w:r>
      <w:r w:rsidRPr="00005E07">
        <w:rPr>
          <w:color w:val="555558"/>
          <w:sz w:val="17"/>
        </w:rPr>
        <w:t>Dazu trugen unter anderem die laufende Optimierung des Filialnetzes in Deutschland sowie der Stellenabbau insbesondere in kundenfernen Bereichen bei. Die erreichten und erwarteten Einsparungen aus abgeschlossenen Effizienzmaßnahmen beliefen sich im dritten Quartal auf insgesamt 1,7 Mrd.</w:t>
      </w:r>
      <w:r w:rsidRPr="00005E07">
        <w:rPr>
          <w:color w:val="555558"/>
          <w:spacing w:val="-3"/>
          <w:sz w:val="17"/>
        </w:rPr>
        <w:t xml:space="preserve"> </w:t>
      </w:r>
      <w:r w:rsidRPr="00005E07">
        <w:rPr>
          <w:color w:val="555558"/>
          <w:sz w:val="17"/>
        </w:rPr>
        <w:t>€, darin</w:t>
      </w:r>
      <w:r w:rsidRPr="00005E07">
        <w:rPr>
          <w:color w:val="555558"/>
          <w:spacing w:val="-1"/>
          <w:sz w:val="17"/>
        </w:rPr>
        <w:t xml:space="preserve"> </w:t>
      </w:r>
      <w:r w:rsidRPr="00005E07">
        <w:rPr>
          <w:color w:val="555558"/>
          <w:sz w:val="17"/>
        </w:rPr>
        <w:t>1,5 Mrd.</w:t>
      </w:r>
      <w:r w:rsidRPr="00005E07">
        <w:rPr>
          <w:color w:val="555558"/>
          <w:spacing w:val="-3"/>
          <w:sz w:val="17"/>
        </w:rPr>
        <w:t xml:space="preserve"> </w:t>
      </w:r>
      <w:r w:rsidRPr="00005E07">
        <w:rPr>
          <w:color w:val="555558"/>
          <w:sz w:val="17"/>
        </w:rPr>
        <w:t>€ an bereits realisierten Einsparungen. Die Bank hat ihr Ziel, im Zusammenhang mit diesem Programm bis Jahresende rund 3.300 Stellen abzubauen, zu mehr als 90% erreicht; im dritten Quartal wurden rund 600 Stellen abgebaut. Außerdem wurde die Zahl der externen Mitarbeitenden in den ersten neun Monaten des Jahres 2024 um rund 1.400 reduziert, hauptsächlich durch Eingliederung.</w:t>
      </w:r>
    </w:p>
    <w:p w:rsidR="00005E07" w:rsidRDefault="00005E07" w:rsidP="00005E07">
      <w:pPr>
        <w:spacing w:after="120" w:line="264" w:lineRule="auto"/>
        <w:rPr>
          <w:color w:val="555558"/>
          <w:sz w:val="17"/>
        </w:rPr>
      </w:pPr>
    </w:p>
    <w:p w:rsidR="00005E07" w:rsidRPr="00005E07" w:rsidRDefault="00005E07" w:rsidP="00005E07">
      <w:pPr>
        <w:pStyle w:val="berschrift3"/>
        <w:spacing w:before="0" w:after="120" w:line="264" w:lineRule="auto"/>
        <w:rPr>
          <w:rFonts w:ascii="Arial" w:eastAsia="Arial" w:hAnsi="Arial" w:cs="Arial"/>
          <w:color w:val="009BDC"/>
          <w:sz w:val="25"/>
          <w:szCs w:val="22"/>
        </w:rPr>
      </w:pPr>
      <w:r w:rsidRPr="00005E07">
        <w:rPr>
          <w:rFonts w:ascii="Arial" w:eastAsia="Arial" w:hAnsi="Arial" w:cs="Arial"/>
          <w:color w:val="009BDC"/>
          <w:sz w:val="25"/>
          <w:szCs w:val="22"/>
        </w:rPr>
        <w:t>Erträge</w:t>
      </w:r>
    </w:p>
    <w:p w:rsidR="00005E07" w:rsidRPr="00005E07" w:rsidRDefault="00005E07" w:rsidP="00005E07">
      <w:pPr>
        <w:tabs>
          <w:tab w:val="left" w:pos="645"/>
        </w:tabs>
        <w:spacing w:after="120" w:line="264" w:lineRule="auto"/>
        <w:jc w:val="both"/>
        <w:rPr>
          <w:sz w:val="17"/>
        </w:rPr>
      </w:pPr>
      <w:r w:rsidRPr="00005E07">
        <w:rPr>
          <w:color w:val="555558"/>
          <w:sz w:val="17"/>
        </w:rPr>
        <w:t xml:space="preserve">Die Erträge der </w:t>
      </w:r>
      <w:r w:rsidRPr="00005E07">
        <w:rPr>
          <w:sz w:val="17"/>
        </w:rPr>
        <w:t xml:space="preserve">Unternehmensbank </w:t>
      </w:r>
      <w:r w:rsidRPr="00005E07">
        <w:rPr>
          <w:color w:val="555558"/>
          <w:sz w:val="17"/>
        </w:rPr>
        <w:t>beliefen sich auf 1,8 Mrd.</w:t>
      </w:r>
      <w:r w:rsidRPr="00005E07">
        <w:rPr>
          <w:color w:val="555558"/>
          <w:spacing w:val="-2"/>
          <w:sz w:val="17"/>
        </w:rPr>
        <w:t xml:space="preserve"> </w:t>
      </w:r>
      <w:r w:rsidRPr="00005E07">
        <w:rPr>
          <w:color w:val="555558"/>
          <w:sz w:val="17"/>
        </w:rPr>
        <w:t>€, was einem Rückgang von 3% gegenüber dem dritten Quartal</w:t>
      </w:r>
      <w:r w:rsidRPr="00005E07">
        <w:rPr>
          <w:color w:val="555558"/>
          <w:spacing w:val="-11"/>
          <w:sz w:val="17"/>
        </w:rPr>
        <w:t xml:space="preserve"> </w:t>
      </w:r>
      <w:r w:rsidRPr="00005E07">
        <w:rPr>
          <w:color w:val="555558"/>
          <w:sz w:val="17"/>
        </w:rPr>
        <w:t>2023</w:t>
      </w:r>
      <w:r w:rsidRPr="00005E07">
        <w:rPr>
          <w:color w:val="555558"/>
          <w:spacing w:val="-10"/>
          <w:sz w:val="17"/>
        </w:rPr>
        <w:t xml:space="preserve"> </w:t>
      </w:r>
      <w:r w:rsidRPr="00005E07">
        <w:rPr>
          <w:color w:val="555558"/>
          <w:sz w:val="17"/>
        </w:rPr>
        <w:t>entspricht.</w:t>
      </w:r>
      <w:r w:rsidRPr="00005E07">
        <w:rPr>
          <w:color w:val="555558"/>
          <w:spacing w:val="-8"/>
          <w:sz w:val="17"/>
        </w:rPr>
        <w:t xml:space="preserve"> </w:t>
      </w:r>
      <w:r w:rsidRPr="00005E07">
        <w:rPr>
          <w:color w:val="555558"/>
          <w:sz w:val="17"/>
        </w:rPr>
        <w:t>Der</w:t>
      </w:r>
      <w:r w:rsidRPr="00005E07">
        <w:rPr>
          <w:color w:val="555558"/>
          <w:spacing w:val="-8"/>
          <w:sz w:val="17"/>
        </w:rPr>
        <w:t xml:space="preserve"> </w:t>
      </w:r>
      <w:r w:rsidRPr="00005E07">
        <w:rPr>
          <w:color w:val="555558"/>
          <w:sz w:val="17"/>
        </w:rPr>
        <w:t>Zinsüberschuss</w:t>
      </w:r>
      <w:r w:rsidRPr="00005E07">
        <w:rPr>
          <w:color w:val="555558"/>
          <w:spacing w:val="-10"/>
          <w:sz w:val="17"/>
        </w:rPr>
        <w:t xml:space="preserve"> </w:t>
      </w:r>
      <w:r w:rsidRPr="00005E07">
        <w:rPr>
          <w:color w:val="555558"/>
          <w:sz w:val="17"/>
        </w:rPr>
        <w:t>lag</w:t>
      </w:r>
      <w:r w:rsidRPr="00005E07">
        <w:rPr>
          <w:color w:val="555558"/>
          <w:spacing w:val="-10"/>
          <w:sz w:val="17"/>
        </w:rPr>
        <w:t xml:space="preserve"> </w:t>
      </w:r>
      <w:r w:rsidRPr="00005E07">
        <w:rPr>
          <w:color w:val="555558"/>
          <w:sz w:val="17"/>
        </w:rPr>
        <w:t>mit</w:t>
      </w:r>
      <w:r w:rsidRPr="00005E07">
        <w:rPr>
          <w:color w:val="555558"/>
          <w:spacing w:val="-11"/>
          <w:sz w:val="17"/>
        </w:rPr>
        <w:t xml:space="preserve"> </w:t>
      </w:r>
      <w:r w:rsidRPr="00005E07">
        <w:rPr>
          <w:color w:val="555558"/>
          <w:sz w:val="17"/>
        </w:rPr>
        <w:t>1,2</w:t>
      </w:r>
      <w:r w:rsidRPr="00005E07">
        <w:rPr>
          <w:color w:val="555558"/>
          <w:spacing w:val="5"/>
          <w:sz w:val="17"/>
        </w:rPr>
        <w:t xml:space="preserve"> </w:t>
      </w:r>
      <w:r w:rsidRPr="00005E07">
        <w:rPr>
          <w:color w:val="555558"/>
          <w:sz w:val="17"/>
        </w:rPr>
        <w:t>Mrd.</w:t>
      </w:r>
      <w:r w:rsidRPr="00005E07">
        <w:rPr>
          <w:color w:val="555558"/>
          <w:spacing w:val="-3"/>
          <w:sz w:val="17"/>
        </w:rPr>
        <w:t xml:space="preserve"> </w:t>
      </w:r>
      <w:r w:rsidRPr="00005E07">
        <w:rPr>
          <w:color w:val="555558"/>
          <w:sz w:val="17"/>
        </w:rPr>
        <w:t>€</w:t>
      </w:r>
      <w:r w:rsidRPr="00005E07">
        <w:rPr>
          <w:color w:val="555558"/>
          <w:spacing w:val="-10"/>
          <w:sz w:val="17"/>
        </w:rPr>
        <w:t xml:space="preserve"> </w:t>
      </w:r>
      <w:r w:rsidRPr="00005E07">
        <w:rPr>
          <w:color w:val="555558"/>
          <w:sz w:val="17"/>
        </w:rPr>
        <w:t>leicht</w:t>
      </w:r>
      <w:r w:rsidRPr="00005E07">
        <w:rPr>
          <w:color w:val="555558"/>
          <w:spacing w:val="-11"/>
          <w:sz w:val="17"/>
        </w:rPr>
        <w:t xml:space="preserve"> </w:t>
      </w:r>
      <w:r w:rsidRPr="00005E07">
        <w:rPr>
          <w:color w:val="555558"/>
          <w:sz w:val="17"/>
        </w:rPr>
        <w:t>unter</w:t>
      </w:r>
      <w:r w:rsidRPr="00005E07">
        <w:rPr>
          <w:color w:val="555558"/>
          <w:spacing w:val="-11"/>
          <w:sz w:val="17"/>
        </w:rPr>
        <w:t xml:space="preserve"> </w:t>
      </w:r>
      <w:r w:rsidRPr="00005E07">
        <w:rPr>
          <w:color w:val="555558"/>
          <w:sz w:val="17"/>
        </w:rPr>
        <w:t>dem</w:t>
      </w:r>
      <w:r w:rsidRPr="00005E07">
        <w:rPr>
          <w:color w:val="555558"/>
          <w:spacing w:val="-9"/>
          <w:sz w:val="17"/>
        </w:rPr>
        <w:t xml:space="preserve"> </w:t>
      </w:r>
      <w:r w:rsidRPr="00005E07">
        <w:rPr>
          <w:color w:val="555558"/>
          <w:sz w:val="17"/>
        </w:rPr>
        <w:t>Vorjahreswert,</w:t>
      </w:r>
      <w:r w:rsidRPr="00005E07">
        <w:rPr>
          <w:color w:val="555558"/>
          <w:spacing w:val="-11"/>
          <w:sz w:val="17"/>
        </w:rPr>
        <w:t xml:space="preserve"> </w:t>
      </w:r>
      <w:r w:rsidRPr="00005E07">
        <w:rPr>
          <w:color w:val="555558"/>
          <w:sz w:val="17"/>
        </w:rPr>
        <w:t>was</w:t>
      </w:r>
      <w:r w:rsidRPr="00005E07">
        <w:rPr>
          <w:color w:val="555558"/>
          <w:spacing w:val="-10"/>
          <w:sz w:val="17"/>
        </w:rPr>
        <w:t xml:space="preserve"> </w:t>
      </w:r>
      <w:r w:rsidRPr="00005E07">
        <w:rPr>
          <w:color w:val="555558"/>
          <w:sz w:val="17"/>
        </w:rPr>
        <w:t>auf</w:t>
      </w:r>
      <w:r w:rsidRPr="00005E07">
        <w:rPr>
          <w:color w:val="555558"/>
          <w:spacing w:val="-11"/>
          <w:sz w:val="17"/>
        </w:rPr>
        <w:t xml:space="preserve"> </w:t>
      </w:r>
      <w:r w:rsidRPr="00005E07">
        <w:rPr>
          <w:color w:val="555558"/>
          <w:sz w:val="17"/>
        </w:rPr>
        <w:t>die</w:t>
      </w:r>
      <w:r w:rsidRPr="00005E07">
        <w:rPr>
          <w:color w:val="555558"/>
          <w:spacing w:val="-10"/>
          <w:sz w:val="17"/>
        </w:rPr>
        <w:t xml:space="preserve"> </w:t>
      </w:r>
      <w:r w:rsidRPr="00005E07">
        <w:rPr>
          <w:color w:val="555558"/>
          <w:sz w:val="17"/>
        </w:rPr>
        <w:t>Normalisierung der</w:t>
      </w:r>
      <w:r w:rsidRPr="00005E07">
        <w:rPr>
          <w:color w:val="555558"/>
          <w:spacing w:val="-3"/>
          <w:sz w:val="17"/>
        </w:rPr>
        <w:t xml:space="preserve"> </w:t>
      </w:r>
      <w:r w:rsidRPr="00005E07">
        <w:rPr>
          <w:color w:val="555558"/>
          <w:sz w:val="17"/>
        </w:rPr>
        <w:t>Margen</w:t>
      </w:r>
      <w:r w:rsidRPr="00005E07">
        <w:rPr>
          <w:color w:val="555558"/>
          <w:spacing w:val="-5"/>
          <w:sz w:val="17"/>
        </w:rPr>
        <w:t xml:space="preserve"> </w:t>
      </w:r>
      <w:r w:rsidRPr="00005E07">
        <w:rPr>
          <w:color w:val="555558"/>
          <w:sz w:val="17"/>
        </w:rPr>
        <w:t>im</w:t>
      </w:r>
      <w:r w:rsidRPr="00005E07">
        <w:rPr>
          <w:color w:val="555558"/>
          <w:spacing w:val="-4"/>
          <w:sz w:val="17"/>
        </w:rPr>
        <w:t xml:space="preserve"> </w:t>
      </w:r>
      <w:r w:rsidRPr="00005E07">
        <w:rPr>
          <w:color w:val="555558"/>
          <w:sz w:val="17"/>
        </w:rPr>
        <w:t>Einlagengeschäft</w:t>
      </w:r>
      <w:r w:rsidRPr="00005E07">
        <w:rPr>
          <w:color w:val="555558"/>
          <w:spacing w:val="-6"/>
          <w:sz w:val="17"/>
        </w:rPr>
        <w:t xml:space="preserve"> </w:t>
      </w:r>
      <w:r w:rsidRPr="00005E07">
        <w:rPr>
          <w:color w:val="555558"/>
          <w:sz w:val="17"/>
        </w:rPr>
        <w:t>zurückzuführen</w:t>
      </w:r>
      <w:r w:rsidRPr="00005E07">
        <w:rPr>
          <w:color w:val="555558"/>
          <w:spacing w:val="-3"/>
          <w:sz w:val="17"/>
        </w:rPr>
        <w:t xml:space="preserve"> </w:t>
      </w:r>
      <w:r w:rsidRPr="00005E07">
        <w:rPr>
          <w:color w:val="555558"/>
          <w:sz w:val="17"/>
        </w:rPr>
        <w:t>ist.</w:t>
      </w:r>
      <w:r w:rsidRPr="00005E07">
        <w:rPr>
          <w:color w:val="555558"/>
          <w:spacing w:val="-4"/>
          <w:sz w:val="17"/>
        </w:rPr>
        <w:t xml:space="preserve"> </w:t>
      </w:r>
      <w:r w:rsidRPr="00005E07">
        <w:rPr>
          <w:color w:val="555558"/>
          <w:sz w:val="17"/>
        </w:rPr>
        <w:t>Dieser</w:t>
      </w:r>
      <w:r w:rsidRPr="00005E07">
        <w:rPr>
          <w:color w:val="555558"/>
          <w:spacing w:val="-3"/>
          <w:sz w:val="17"/>
        </w:rPr>
        <w:t xml:space="preserve"> </w:t>
      </w:r>
      <w:r w:rsidRPr="00005E07">
        <w:rPr>
          <w:color w:val="555558"/>
          <w:sz w:val="17"/>
        </w:rPr>
        <w:t>Effekt</w:t>
      </w:r>
      <w:r w:rsidRPr="00005E07">
        <w:rPr>
          <w:color w:val="555558"/>
          <w:spacing w:val="-4"/>
          <w:sz w:val="17"/>
        </w:rPr>
        <w:t xml:space="preserve"> </w:t>
      </w:r>
      <w:r w:rsidRPr="00005E07">
        <w:rPr>
          <w:color w:val="555558"/>
          <w:sz w:val="17"/>
        </w:rPr>
        <w:t>wurde</w:t>
      </w:r>
      <w:r w:rsidRPr="00005E07">
        <w:rPr>
          <w:color w:val="555558"/>
          <w:spacing w:val="-3"/>
          <w:sz w:val="17"/>
        </w:rPr>
        <w:t xml:space="preserve"> </w:t>
      </w:r>
      <w:r w:rsidRPr="00005E07">
        <w:rPr>
          <w:color w:val="555558"/>
          <w:sz w:val="17"/>
        </w:rPr>
        <w:t>größtenteils</w:t>
      </w:r>
      <w:r w:rsidRPr="00005E07">
        <w:rPr>
          <w:color w:val="555558"/>
          <w:spacing w:val="-5"/>
          <w:sz w:val="17"/>
        </w:rPr>
        <w:t xml:space="preserve"> </w:t>
      </w:r>
      <w:r w:rsidRPr="00005E07">
        <w:rPr>
          <w:color w:val="555558"/>
          <w:sz w:val="17"/>
        </w:rPr>
        <w:t>durch</w:t>
      </w:r>
      <w:r w:rsidRPr="00005E07">
        <w:rPr>
          <w:color w:val="555558"/>
          <w:spacing w:val="-5"/>
          <w:sz w:val="17"/>
        </w:rPr>
        <w:t xml:space="preserve"> </w:t>
      </w:r>
      <w:r w:rsidRPr="00005E07">
        <w:rPr>
          <w:color w:val="555558"/>
          <w:sz w:val="17"/>
        </w:rPr>
        <w:t>ein</w:t>
      </w:r>
      <w:r w:rsidRPr="00005E07">
        <w:rPr>
          <w:color w:val="555558"/>
          <w:spacing w:val="-5"/>
          <w:sz w:val="17"/>
        </w:rPr>
        <w:t xml:space="preserve"> </w:t>
      </w:r>
      <w:r w:rsidRPr="00005E07">
        <w:rPr>
          <w:color w:val="555558"/>
          <w:sz w:val="17"/>
        </w:rPr>
        <w:t>höheres</w:t>
      </w:r>
      <w:r w:rsidRPr="00005E07">
        <w:rPr>
          <w:color w:val="555558"/>
          <w:spacing w:val="-3"/>
          <w:sz w:val="17"/>
        </w:rPr>
        <w:t xml:space="preserve"> </w:t>
      </w:r>
      <w:r w:rsidRPr="00005E07">
        <w:rPr>
          <w:color w:val="555558"/>
          <w:sz w:val="17"/>
        </w:rPr>
        <w:t>Einlagenvolumen und</w:t>
      </w:r>
      <w:r w:rsidRPr="00005E07">
        <w:rPr>
          <w:color w:val="555558"/>
          <w:spacing w:val="-1"/>
          <w:sz w:val="17"/>
        </w:rPr>
        <w:t xml:space="preserve"> </w:t>
      </w:r>
      <w:r w:rsidRPr="00005E07">
        <w:rPr>
          <w:color w:val="555558"/>
          <w:sz w:val="17"/>
        </w:rPr>
        <w:t>ein gestiegenes</w:t>
      </w:r>
      <w:r w:rsidRPr="00005E07">
        <w:rPr>
          <w:color w:val="555558"/>
          <w:spacing w:val="-1"/>
          <w:sz w:val="17"/>
        </w:rPr>
        <w:t xml:space="preserve"> </w:t>
      </w:r>
      <w:r w:rsidRPr="00005E07">
        <w:rPr>
          <w:color w:val="555558"/>
          <w:sz w:val="17"/>
        </w:rPr>
        <w:t>Zinsergebnis</w:t>
      </w:r>
      <w:r w:rsidRPr="00005E07">
        <w:rPr>
          <w:color w:val="555558"/>
          <w:spacing w:val="-1"/>
          <w:sz w:val="17"/>
        </w:rPr>
        <w:t xml:space="preserve"> </w:t>
      </w:r>
      <w:r w:rsidRPr="00005E07">
        <w:rPr>
          <w:color w:val="555558"/>
          <w:sz w:val="17"/>
        </w:rPr>
        <w:t>im Kreditgeschäft</w:t>
      </w:r>
      <w:r w:rsidRPr="00005E07">
        <w:rPr>
          <w:color w:val="555558"/>
          <w:spacing w:val="-1"/>
          <w:sz w:val="17"/>
        </w:rPr>
        <w:t xml:space="preserve"> </w:t>
      </w:r>
      <w:r w:rsidRPr="00005E07">
        <w:rPr>
          <w:color w:val="555558"/>
          <w:sz w:val="17"/>
        </w:rPr>
        <w:t>ausgeglichen. Dem geringeren Zinsüberschuss</w:t>
      </w:r>
      <w:r w:rsidRPr="00005E07">
        <w:rPr>
          <w:color w:val="555558"/>
          <w:spacing w:val="-1"/>
          <w:sz w:val="17"/>
        </w:rPr>
        <w:t xml:space="preserve"> </w:t>
      </w:r>
      <w:r w:rsidRPr="00005E07">
        <w:rPr>
          <w:color w:val="555558"/>
          <w:sz w:val="17"/>
        </w:rPr>
        <w:t>stand</w:t>
      </w:r>
      <w:r w:rsidRPr="00005E07">
        <w:rPr>
          <w:color w:val="555558"/>
          <w:spacing w:val="-1"/>
          <w:sz w:val="17"/>
        </w:rPr>
        <w:t xml:space="preserve"> </w:t>
      </w:r>
      <w:r w:rsidRPr="00005E07">
        <w:rPr>
          <w:color w:val="555558"/>
          <w:sz w:val="17"/>
        </w:rPr>
        <w:t>ein</w:t>
      </w:r>
      <w:r w:rsidRPr="00005E07">
        <w:rPr>
          <w:color w:val="555558"/>
          <w:spacing w:val="-1"/>
          <w:sz w:val="17"/>
        </w:rPr>
        <w:t xml:space="preserve"> </w:t>
      </w:r>
      <w:r w:rsidRPr="00005E07">
        <w:rPr>
          <w:color w:val="555558"/>
          <w:sz w:val="17"/>
        </w:rPr>
        <w:t>um</w:t>
      </w:r>
      <w:r w:rsidRPr="00005E07">
        <w:rPr>
          <w:color w:val="555558"/>
          <w:spacing w:val="-2"/>
          <w:sz w:val="17"/>
        </w:rPr>
        <w:t xml:space="preserve"> </w:t>
      </w:r>
      <w:r w:rsidRPr="00005E07">
        <w:rPr>
          <w:color w:val="555558"/>
          <w:sz w:val="17"/>
        </w:rPr>
        <w:t>4%</w:t>
      </w:r>
      <w:r w:rsidRPr="00005E07">
        <w:rPr>
          <w:color w:val="555558"/>
          <w:spacing w:val="-2"/>
          <w:sz w:val="17"/>
        </w:rPr>
        <w:t xml:space="preserve"> </w:t>
      </w:r>
      <w:r w:rsidRPr="00005E07">
        <w:rPr>
          <w:color w:val="555558"/>
          <w:sz w:val="17"/>
        </w:rPr>
        <w:t>auf 611</w:t>
      </w:r>
      <w:r w:rsidRPr="00005E07">
        <w:rPr>
          <w:color w:val="555558"/>
          <w:spacing w:val="-1"/>
          <w:sz w:val="17"/>
        </w:rPr>
        <w:t xml:space="preserve"> </w:t>
      </w:r>
      <w:r w:rsidRPr="00005E07">
        <w:rPr>
          <w:color w:val="555558"/>
          <w:sz w:val="17"/>
        </w:rPr>
        <w:t>Mio.</w:t>
      </w:r>
      <w:r w:rsidRPr="00005E07">
        <w:rPr>
          <w:color w:val="555558"/>
          <w:spacing w:val="-3"/>
          <w:sz w:val="17"/>
        </w:rPr>
        <w:t xml:space="preserve"> </w:t>
      </w:r>
      <w:r w:rsidRPr="00005E07">
        <w:rPr>
          <w:color w:val="555558"/>
          <w:sz w:val="17"/>
        </w:rPr>
        <w:t>€ gestiegener Provisionsüberschuss gegenüber. Getragen wurde dieser vom Ertragswachstum</w:t>
      </w:r>
      <w:r w:rsidRPr="00005E07">
        <w:rPr>
          <w:color w:val="555558"/>
          <w:spacing w:val="-1"/>
          <w:sz w:val="17"/>
        </w:rPr>
        <w:t xml:space="preserve"> </w:t>
      </w:r>
      <w:r w:rsidRPr="00005E07">
        <w:rPr>
          <w:color w:val="555558"/>
          <w:sz w:val="17"/>
        </w:rPr>
        <w:t>im Geschäft mit institutionellen Kunden (</w:t>
      </w:r>
      <w:proofErr w:type="spellStart"/>
      <w:r w:rsidRPr="00005E07">
        <w:rPr>
          <w:color w:val="555558"/>
          <w:sz w:val="17"/>
        </w:rPr>
        <w:t>Institutional</w:t>
      </w:r>
      <w:proofErr w:type="spellEnd"/>
      <w:r w:rsidRPr="00005E07">
        <w:rPr>
          <w:color w:val="555558"/>
          <w:sz w:val="17"/>
        </w:rPr>
        <w:t xml:space="preserve"> Client Services) um 3% auf 485 Mio.</w:t>
      </w:r>
      <w:r w:rsidRPr="00005E07">
        <w:rPr>
          <w:color w:val="555558"/>
          <w:spacing w:val="-3"/>
          <w:sz w:val="17"/>
        </w:rPr>
        <w:t xml:space="preserve"> </w:t>
      </w:r>
      <w:r w:rsidRPr="00005E07">
        <w:rPr>
          <w:color w:val="555558"/>
          <w:sz w:val="17"/>
        </w:rPr>
        <w:t>€. Die Erträge im Bereich Corporate Treasury Services lagen mit 1,0 Mrd.</w:t>
      </w:r>
      <w:r w:rsidRPr="00005E07">
        <w:rPr>
          <w:color w:val="555558"/>
          <w:spacing w:val="-3"/>
          <w:sz w:val="17"/>
        </w:rPr>
        <w:t xml:space="preserve"> </w:t>
      </w:r>
      <w:r w:rsidRPr="00005E07">
        <w:rPr>
          <w:color w:val="555558"/>
          <w:sz w:val="17"/>
        </w:rPr>
        <w:t>€ um 3%</w:t>
      </w:r>
      <w:r w:rsidRPr="00005E07">
        <w:rPr>
          <w:color w:val="555558"/>
          <w:spacing w:val="-2"/>
          <w:sz w:val="17"/>
        </w:rPr>
        <w:t xml:space="preserve"> </w:t>
      </w:r>
      <w:r w:rsidRPr="00005E07">
        <w:rPr>
          <w:color w:val="555558"/>
          <w:sz w:val="17"/>
        </w:rPr>
        <w:t>unter</w:t>
      </w:r>
      <w:r w:rsidRPr="00005E07">
        <w:rPr>
          <w:color w:val="555558"/>
          <w:spacing w:val="-1"/>
          <w:sz w:val="17"/>
        </w:rPr>
        <w:t xml:space="preserve"> </w:t>
      </w:r>
      <w:r w:rsidRPr="00005E07">
        <w:rPr>
          <w:color w:val="555558"/>
          <w:sz w:val="17"/>
        </w:rPr>
        <w:t>dem Vorjahreswert. Im Bereich Geschäftskunden (Business Banking) sanken die Erträge im Vergleich zum Vorjahr</w:t>
      </w:r>
      <w:r w:rsidRPr="00005E07">
        <w:rPr>
          <w:color w:val="555558"/>
          <w:spacing w:val="-1"/>
          <w:sz w:val="17"/>
        </w:rPr>
        <w:t xml:space="preserve"> </w:t>
      </w:r>
      <w:r w:rsidRPr="00005E07">
        <w:rPr>
          <w:color w:val="555558"/>
          <w:sz w:val="17"/>
        </w:rPr>
        <w:t>um 9%</w:t>
      </w:r>
      <w:r w:rsidRPr="00005E07">
        <w:rPr>
          <w:color w:val="555558"/>
          <w:spacing w:val="-2"/>
          <w:sz w:val="17"/>
        </w:rPr>
        <w:t xml:space="preserve"> </w:t>
      </w:r>
      <w:r w:rsidRPr="00005E07">
        <w:rPr>
          <w:color w:val="555558"/>
          <w:sz w:val="17"/>
        </w:rPr>
        <w:t>auf 328 Mio.</w:t>
      </w:r>
      <w:r w:rsidRPr="00005E07">
        <w:rPr>
          <w:color w:val="555558"/>
          <w:spacing w:val="-3"/>
          <w:sz w:val="17"/>
        </w:rPr>
        <w:t xml:space="preserve"> </w:t>
      </w:r>
      <w:r w:rsidRPr="00005E07">
        <w:rPr>
          <w:color w:val="555558"/>
          <w:sz w:val="17"/>
        </w:rPr>
        <w:t>€, was</w:t>
      </w:r>
      <w:r w:rsidRPr="00005E07">
        <w:rPr>
          <w:color w:val="555558"/>
          <w:spacing w:val="-1"/>
          <w:sz w:val="17"/>
        </w:rPr>
        <w:t xml:space="preserve"> </w:t>
      </w:r>
      <w:r w:rsidRPr="00005E07">
        <w:rPr>
          <w:color w:val="555558"/>
          <w:sz w:val="17"/>
        </w:rPr>
        <w:t>auf</w:t>
      </w:r>
      <w:r w:rsidRPr="00005E07">
        <w:rPr>
          <w:color w:val="555558"/>
          <w:spacing w:val="-1"/>
          <w:sz w:val="17"/>
        </w:rPr>
        <w:t xml:space="preserve"> </w:t>
      </w:r>
      <w:r w:rsidRPr="00005E07">
        <w:rPr>
          <w:color w:val="555558"/>
          <w:sz w:val="17"/>
        </w:rPr>
        <w:t>einen geringeren Zinsüberschuss im Vergleich zum starken</w:t>
      </w:r>
      <w:r w:rsidRPr="00005E07">
        <w:rPr>
          <w:color w:val="555558"/>
          <w:spacing w:val="-12"/>
          <w:sz w:val="17"/>
        </w:rPr>
        <w:t xml:space="preserve"> </w:t>
      </w:r>
      <w:r w:rsidRPr="00005E07">
        <w:rPr>
          <w:color w:val="555558"/>
          <w:sz w:val="17"/>
        </w:rPr>
        <w:t>Vorjahresquartal</w:t>
      </w:r>
      <w:r w:rsidRPr="00005E07">
        <w:rPr>
          <w:color w:val="555558"/>
          <w:spacing w:val="-12"/>
          <w:sz w:val="17"/>
        </w:rPr>
        <w:t xml:space="preserve"> </w:t>
      </w:r>
      <w:r w:rsidRPr="00005E07">
        <w:rPr>
          <w:color w:val="555558"/>
          <w:sz w:val="17"/>
        </w:rPr>
        <w:t>zurückzuführen</w:t>
      </w:r>
      <w:r w:rsidRPr="00005E07">
        <w:rPr>
          <w:color w:val="555558"/>
          <w:spacing w:val="-12"/>
          <w:sz w:val="17"/>
        </w:rPr>
        <w:t xml:space="preserve"> </w:t>
      </w:r>
      <w:r w:rsidRPr="00005E07">
        <w:rPr>
          <w:color w:val="555558"/>
          <w:sz w:val="17"/>
        </w:rPr>
        <w:t>war.</w:t>
      </w:r>
      <w:r w:rsidRPr="00005E07">
        <w:rPr>
          <w:color w:val="555558"/>
          <w:spacing w:val="-12"/>
          <w:sz w:val="17"/>
        </w:rPr>
        <w:t xml:space="preserve"> </w:t>
      </w:r>
      <w:r w:rsidRPr="00005E07">
        <w:rPr>
          <w:color w:val="555558"/>
          <w:sz w:val="17"/>
        </w:rPr>
        <w:t>In</w:t>
      </w:r>
      <w:r w:rsidRPr="00005E07">
        <w:rPr>
          <w:color w:val="555558"/>
          <w:spacing w:val="-12"/>
          <w:sz w:val="17"/>
        </w:rPr>
        <w:t xml:space="preserve"> </w:t>
      </w:r>
      <w:r w:rsidRPr="00005E07">
        <w:rPr>
          <w:color w:val="555558"/>
          <w:sz w:val="17"/>
        </w:rPr>
        <w:t>den</w:t>
      </w:r>
      <w:r w:rsidRPr="00005E07">
        <w:rPr>
          <w:color w:val="555558"/>
          <w:spacing w:val="-11"/>
          <w:sz w:val="17"/>
        </w:rPr>
        <w:t xml:space="preserve"> </w:t>
      </w:r>
      <w:r w:rsidRPr="00005E07">
        <w:rPr>
          <w:color w:val="555558"/>
          <w:sz w:val="17"/>
        </w:rPr>
        <w:t>ersten</w:t>
      </w:r>
      <w:r w:rsidRPr="00005E07">
        <w:rPr>
          <w:color w:val="555558"/>
          <w:spacing w:val="-12"/>
          <w:sz w:val="17"/>
        </w:rPr>
        <w:t xml:space="preserve"> </w:t>
      </w:r>
      <w:r w:rsidRPr="00005E07">
        <w:rPr>
          <w:color w:val="555558"/>
          <w:sz w:val="17"/>
        </w:rPr>
        <w:t>neun</w:t>
      </w:r>
      <w:r w:rsidRPr="00005E07">
        <w:rPr>
          <w:color w:val="555558"/>
          <w:spacing w:val="-12"/>
          <w:sz w:val="17"/>
        </w:rPr>
        <w:t xml:space="preserve"> </w:t>
      </w:r>
      <w:r w:rsidRPr="00005E07">
        <w:rPr>
          <w:color w:val="555558"/>
          <w:sz w:val="17"/>
        </w:rPr>
        <w:t>Monaten</w:t>
      </w:r>
      <w:r w:rsidRPr="00005E07">
        <w:rPr>
          <w:color w:val="555558"/>
          <w:spacing w:val="-12"/>
          <w:sz w:val="17"/>
        </w:rPr>
        <w:t xml:space="preserve"> </w:t>
      </w:r>
      <w:r w:rsidRPr="00005E07">
        <w:rPr>
          <w:color w:val="555558"/>
          <w:sz w:val="17"/>
        </w:rPr>
        <w:t>sanken</w:t>
      </w:r>
      <w:r w:rsidRPr="00005E07">
        <w:rPr>
          <w:color w:val="555558"/>
          <w:spacing w:val="-12"/>
          <w:sz w:val="17"/>
        </w:rPr>
        <w:t xml:space="preserve"> </w:t>
      </w:r>
      <w:r w:rsidRPr="00005E07">
        <w:rPr>
          <w:color w:val="555558"/>
          <w:sz w:val="17"/>
        </w:rPr>
        <w:t>die</w:t>
      </w:r>
      <w:r w:rsidRPr="00005E07">
        <w:rPr>
          <w:color w:val="555558"/>
          <w:spacing w:val="-11"/>
          <w:sz w:val="17"/>
        </w:rPr>
        <w:t xml:space="preserve"> </w:t>
      </w:r>
      <w:r w:rsidRPr="00005E07">
        <w:rPr>
          <w:color w:val="555558"/>
          <w:sz w:val="17"/>
        </w:rPr>
        <w:t>Erträge</w:t>
      </w:r>
      <w:r w:rsidRPr="00005E07">
        <w:rPr>
          <w:color w:val="555558"/>
          <w:spacing w:val="-12"/>
          <w:sz w:val="17"/>
        </w:rPr>
        <w:t xml:space="preserve"> </w:t>
      </w:r>
      <w:r w:rsidRPr="00005E07">
        <w:rPr>
          <w:color w:val="555558"/>
          <w:sz w:val="17"/>
        </w:rPr>
        <w:t>um</w:t>
      </w:r>
      <w:r w:rsidRPr="00005E07">
        <w:rPr>
          <w:color w:val="555558"/>
          <w:spacing w:val="-12"/>
          <w:sz w:val="17"/>
        </w:rPr>
        <w:t xml:space="preserve"> </w:t>
      </w:r>
      <w:r w:rsidRPr="00005E07">
        <w:rPr>
          <w:color w:val="555558"/>
          <w:sz w:val="17"/>
        </w:rPr>
        <w:t>3%</w:t>
      </w:r>
      <w:r w:rsidRPr="00005E07">
        <w:rPr>
          <w:color w:val="555558"/>
          <w:spacing w:val="-12"/>
          <w:sz w:val="17"/>
        </w:rPr>
        <w:t xml:space="preserve"> </w:t>
      </w:r>
      <w:r w:rsidRPr="00005E07">
        <w:rPr>
          <w:color w:val="555558"/>
          <w:sz w:val="17"/>
        </w:rPr>
        <w:t>auf</w:t>
      </w:r>
      <w:r w:rsidRPr="00005E07">
        <w:rPr>
          <w:color w:val="555558"/>
          <w:spacing w:val="-12"/>
          <w:sz w:val="17"/>
        </w:rPr>
        <w:t xml:space="preserve"> </w:t>
      </w:r>
      <w:r w:rsidRPr="00005E07">
        <w:rPr>
          <w:color w:val="555558"/>
          <w:sz w:val="17"/>
        </w:rPr>
        <w:t>5,6</w:t>
      </w:r>
      <w:r w:rsidRPr="00005E07">
        <w:rPr>
          <w:color w:val="555558"/>
          <w:spacing w:val="-5"/>
          <w:sz w:val="17"/>
        </w:rPr>
        <w:t xml:space="preserve"> </w:t>
      </w:r>
      <w:r w:rsidRPr="00005E07">
        <w:rPr>
          <w:color w:val="555558"/>
          <w:sz w:val="17"/>
        </w:rPr>
        <w:t>Mrd.</w:t>
      </w:r>
      <w:r w:rsidRPr="00005E07">
        <w:rPr>
          <w:color w:val="555558"/>
          <w:spacing w:val="-2"/>
          <w:sz w:val="17"/>
        </w:rPr>
        <w:t xml:space="preserve"> </w:t>
      </w:r>
      <w:r w:rsidRPr="00005E07">
        <w:rPr>
          <w:color w:val="555558"/>
          <w:sz w:val="17"/>
        </w:rPr>
        <w:t>€.</w:t>
      </w:r>
      <w:r w:rsidRPr="00005E07">
        <w:rPr>
          <w:color w:val="555558"/>
          <w:spacing w:val="-10"/>
          <w:sz w:val="17"/>
        </w:rPr>
        <w:t xml:space="preserve"> </w:t>
      </w:r>
      <w:r w:rsidRPr="00005E07">
        <w:rPr>
          <w:color w:val="555558"/>
          <w:sz w:val="17"/>
        </w:rPr>
        <w:t>Dabei gingen</w:t>
      </w:r>
      <w:r w:rsidRPr="00005E07">
        <w:rPr>
          <w:color w:val="555558"/>
          <w:spacing w:val="-12"/>
          <w:sz w:val="17"/>
        </w:rPr>
        <w:t xml:space="preserve"> </w:t>
      </w:r>
      <w:r w:rsidRPr="00005E07">
        <w:rPr>
          <w:color w:val="555558"/>
          <w:sz w:val="17"/>
        </w:rPr>
        <w:t>die</w:t>
      </w:r>
      <w:r w:rsidRPr="00005E07">
        <w:rPr>
          <w:color w:val="555558"/>
          <w:spacing w:val="-10"/>
          <w:sz w:val="17"/>
        </w:rPr>
        <w:t xml:space="preserve"> </w:t>
      </w:r>
      <w:r w:rsidRPr="00005E07">
        <w:rPr>
          <w:color w:val="555558"/>
          <w:sz w:val="17"/>
        </w:rPr>
        <w:t>Erträge</w:t>
      </w:r>
      <w:r w:rsidRPr="00005E07">
        <w:rPr>
          <w:color w:val="555558"/>
          <w:spacing w:val="-8"/>
          <w:sz w:val="17"/>
        </w:rPr>
        <w:t xml:space="preserve"> </w:t>
      </w:r>
      <w:r w:rsidRPr="00005E07">
        <w:rPr>
          <w:color w:val="555558"/>
          <w:sz w:val="17"/>
        </w:rPr>
        <w:t>im</w:t>
      </w:r>
      <w:r w:rsidRPr="00005E07">
        <w:rPr>
          <w:color w:val="555558"/>
          <w:spacing w:val="-12"/>
          <w:sz w:val="17"/>
        </w:rPr>
        <w:t xml:space="preserve"> </w:t>
      </w:r>
      <w:r w:rsidRPr="00005E07">
        <w:rPr>
          <w:color w:val="555558"/>
          <w:sz w:val="17"/>
        </w:rPr>
        <w:t>Bereich</w:t>
      </w:r>
      <w:r w:rsidRPr="00005E07">
        <w:rPr>
          <w:color w:val="555558"/>
          <w:spacing w:val="-8"/>
          <w:sz w:val="17"/>
        </w:rPr>
        <w:t xml:space="preserve"> </w:t>
      </w:r>
      <w:r w:rsidRPr="00005E07">
        <w:rPr>
          <w:color w:val="555558"/>
          <w:sz w:val="17"/>
        </w:rPr>
        <w:t>Corporate</w:t>
      </w:r>
      <w:r w:rsidRPr="00005E07">
        <w:rPr>
          <w:color w:val="555558"/>
          <w:spacing w:val="-10"/>
          <w:sz w:val="17"/>
        </w:rPr>
        <w:t xml:space="preserve"> </w:t>
      </w:r>
      <w:r w:rsidRPr="00005E07">
        <w:rPr>
          <w:color w:val="555558"/>
          <w:sz w:val="17"/>
        </w:rPr>
        <w:t>Treasury</w:t>
      </w:r>
      <w:r w:rsidRPr="00005E07">
        <w:rPr>
          <w:color w:val="555558"/>
          <w:spacing w:val="-10"/>
          <w:sz w:val="17"/>
        </w:rPr>
        <w:t xml:space="preserve"> </w:t>
      </w:r>
      <w:r w:rsidRPr="00005E07">
        <w:rPr>
          <w:color w:val="555558"/>
          <w:sz w:val="17"/>
        </w:rPr>
        <w:t>Services</w:t>
      </w:r>
      <w:r w:rsidRPr="00005E07">
        <w:rPr>
          <w:color w:val="555558"/>
          <w:spacing w:val="-10"/>
          <w:sz w:val="17"/>
        </w:rPr>
        <w:t xml:space="preserve"> </w:t>
      </w:r>
      <w:r w:rsidRPr="00005E07">
        <w:rPr>
          <w:color w:val="555558"/>
          <w:sz w:val="17"/>
        </w:rPr>
        <w:t>um</w:t>
      </w:r>
      <w:r w:rsidRPr="00005E07">
        <w:rPr>
          <w:color w:val="555558"/>
          <w:spacing w:val="-12"/>
          <w:sz w:val="17"/>
        </w:rPr>
        <w:t xml:space="preserve"> </w:t>
      </w:r>
      <w:r w:rsidRPr="00005E07">
        <w:rPr>
          <w:color w:val="555558"/>
          <w:sz w:val="17"/>
        </w:rPr>
        <w:t>5%</w:t>
      </w:r>
      <w:r w:rsidRPr="00005E07">
        <w:rPr>
          <w:color w:val="555558"/>
          <w:spacing w:val="-9"/>
          <w:sz w:val="17"/>
        </w:rPr>
        <w:t xml:space="preserve"> </w:t>
      </w:r>
      <w:r w:rsidRPr="00005E07">
        <w:rPr>
          <w:color w:val="555558"/>
          <w:sz w:val="17"/>
        </w:rPr>
        <w:t>auf</w:t>
      </w:r>
      <w:r w:rsidRPr="00005E07">
        <w:rPr>
          <w:color w:val="555558"/>
          <w:spacing w:val="-11"/>
          <w:sz w:val="17"/>
        </w:rPr>
        <w:t xml:space="preserve"> </w:t>
      </w:r>
      <w:r w:rsidRPr="00005E07">
        <w:rPr>
          <w:color w:val="555558"/>
          <w:sz w:val="17"/>
        </w:rPr>
        <w:t>3,2</w:t>
      </w:r>
      <w:r w:rsidRPr="00005E07">
        <w:rPr>
          <w:color w:val="555558"/>
          <w:spacing w:val="4"/>
          <w:sz w:val="17"/>
        </w:rPr>
        <w:t xml:space="preserve"> </w:t>
      </w:r>
      <w:r w:rsidRPr="00005E07">
        <w:rPr>
          <w:color w:val="555558"/>
          <w:sz w:val="17"/>
        </w:rPr>
        <w:t>Mrd.</w:t>
      </w:r>
      <w:r w:rsidRPr="00005E07">
        <w:rPr>
          <w:color w:val="555558"/>
          <w:spacing w:val="-4"/>
          <w:sz w:val="17"/>
        </w:rPr>
        <w:t xml:space="preserve"> </w:t>
      </w:r>
      <w:r w:rsidRPr="00005E07">
        <w:rPr>
          <w:color w:val="555558"/>
          <w:sz w:val="17"/>
        </w:rPr>
        <w:t>€</w:t>
      </w:r>
      <w:r w:rsidRPr="00005E07">
        <w:rPr>
          <w:color w:val="555558"/>
          <w:spacing w:val="-10"/>
          <w:sz w:val="17"/>
        </w:rPr>
        <w:t xml:space="preserve"> </w:t>
      </w:r>
      <w:r w:rsidRPr="00005E07">
        <w:rPr>
          <w:color w:val="555558"/>
          <w:sz w:val="17"/>
        </w:rPr>
        <w:t>zurück,</w:t>
      </w:r>
      <w:r w:rsidRPr="00005E07">
        <w:rPr>
          <w:color w:val="555558"/>
          <w:spacing w:val="-11"/>
          <w:sz w:val="17"/>
        </w:rPr>
        <w:t xml:space="preserve"> </w:t>
      </w:r>
      <w:r w:rsidRPr="00005E07">
        <w:rPr>
          <w:color w:val="555558"/>
          <w:sz w:val="17"/>
        </w:rPr>
        <w:t>während</w:t>
      </w:r>
      <w:r w:rsidRPr="00005E07">
        <w:rPr>
          <w:color w:val="555558"/>
          <w:spacing w:val="-10"/>
          <w:sz w:val="17"/>
        </w:rPr>
        <w:t xml:space="preserve"> </w:t>
      </w:r>
      <w:r w:rsidRPr="00005E07">
        <w:rPr>
          <w:color w:val="555558"/>
          <w:sz w:val="17"/>
        </w:rPr>
        <w:t>die</w:t>
      </w:r>
      <w:r w:rsidRPr="00005E07">
        <w:rPr>
          <w:color w:val="555558"/>
          <w:spacing w:val="-8"/>
          <w:sz w:val="17"/>
        </w:rPr>
        <w:t xml:space="preserve"> </w:t>
      </w:r>
      <w:r w:rsidRPr="00005E07">
        <w:rPr>
          <w:color w:val="555558"/>
          <w:sz w:val="17"/>
        </w:rPr>
        <w:t>Erträge</w:t>
      </w:r>
      <w:r w:rsidRPr="00005E07">
        <w:rPr>
          <w:color w:val="555558"/>
          <w:spacing w:val="-10"/>
          <w:sz w:val="17"/>
        </w:rPr>
        <w:t xml:space="preserve"> </w:t>
      </w:r>
      <w:r w:rsidRPr="00005E07">
        <w:rPr>
          <w:color w:val="555558"/>
          <w:sz w:val="17"/>
        </w:rPr>
        <w:t>im</w:t>
      </w:r>
      <w:r w:rsidRPr="00005E07">
        <w:rPr>
          <w:color w:val="555558"/>
          <w:spacing w:val="-9"/>
          <w:sz w:val="17"/>
        </w:rPr>
        <w:t xml:space="preserve"> </w:t>
      </w:r>
      <w:r w:rsidRPr="00005E07">
        <w:rPr>
          <w:color w:val="555558"/>
          <w:sz w:val="17"/>
        </w:rPr>
        <w:t>Geschäft mit</w:t>
      </w:r>
      <w:r w:rsidRPr="00005E07">
        <w:rPr>
          <w:color w:val="555558"/>
          <w:spacing w:val="35"/>
          <w:sz w:val="17"/>
        </w:rPr>
        <w:t xml:space="preserve"> </w:t>
      </w:r>
      <w:r w:rsidRPr="00005E07">
        <w:rPr>
          <w:color w:val="555558"/>
          <w:sz w:val="17"/>
        </w:rPr>
        <w:t>institutionellen</w:t>
      </w:r>
      <w:r w:rsidRPr="00005E07">
        <w:rPr>
          <w:color w:val="555558"/>
          <w:spacing w:val="35"/>
          <w:sz w:val="17"/>
        </w:rPr>
        <w:t xml:space="preserve"> </w:t>
      </w:r>
      <w:r w:rsidRPr="00005E07">
        <w:rPr>
          <w:color w:val="555558"/>
          <w:sz w:val="17"/>
        </w:rPr>
        <w:t>Kunden</w:t>
      </w:r>
      <w:r w:rsidRPr="00005E07">
        <w:rPr>
          <w:color w:val="555558"/>
          <w:spacing w:val="35"/>
          <w:sz w:val="17"/>
        </w:rPr>
        <w:t xml:space="preserve"> </w:t>
      </w:r>
      <w:r w:rsidRPr="00005E07">
        <w:rPr>
          <w:color w:val="555558"/>
          <w:sz w:val="17"/>
        </w:rPr>
        <w:t>um</w:t>
      </w:r>
      <w:r w:rsidRPr="00005E07">
        <w:rPr>
          <w:color w:val="555558"/>
          <w:spacing w:val="31"/>
          <w:sz w:val="17"/>
        </w:rPr>
        <w:t xml:space="preserve"> </w:t>
      </w:r>
      <w:r w:rsidRPr="00005E07">
        <w:rPr>
          <w:color w:val="555558"/>
          <w:sz w:val="17"/>
        </w:rPr>
        <w:t>5%</w:t>
      </w:r>
      <w:r w:rsidRPr="00005E07">
        <w:rPr>
          <w:color w:val="555558"/>
          <w:spacing w:val="34"/>
          <w:sz w:val="17"/>
        </w:rPr>
        <w:t xml:space="preserve"> </w:t>
      </w:r>
      <w:r w:rsidRPr="00005E07">
        <w:rPr>
          <w:color w:val="555558"/>
          <w:sz w:val="17"/>
        </w:rPr>
        <w:t>auf</w:t>
      </w:r>
      <w:r w:rsidRPr="00005E07">
        <w:rPr>
          <w:color w:val="555558"/>
          <w:spacing w:val="32"/>
          <w:sz w:val="17"/>
        </w:rPr>
        <w:t xml:space="preserve"> </w:t>
      </w:r>
      <w:r w:rsidRPr="00005E07">
        <w:rPr>
          <w:color w:val="555558"/>
          <w:sz w:val="17"/>
        </w:rPr>
        <w:t>1,5 Mrd.</w:t>
      </w:r>
      <w:r w:rsidRPr="00005E07">
        <w:rPr>
          <w:color w:val="555558"/>
          <w:spacing w:val="-2"/>
          <w:sz w:val="17"/>
        </w:rPr>
        <w:t xml:space="preserve"> </w:t>
      </w:r>
      <w:r w:rsidRPr="00005E07">
        <w:rPr>
          <w:color w:val="555558"/>
          <w:sz w:val="17"/>
        </w:rPr>
        <w:t>€</w:t>
      </w:r>
      <w:r w:rsidRPr="00005E07">
        <w:rPr>
          <w:color w:val="555558"/>
          <w:spacing w:val="35"/>
          <w:sz w:val="17"/>
        </w:rPr>
        <w:t xml:space="preserve"> </w:t>
      </w:r>
      <w:r w:rsidRPr="00005E07">
        <w:rPr>
          <w:color w:val="555558"/>
          <w:sz w:val="17"/>
        </w:rPr>
        <w:t>stiegen</w:t>
      </w:r>
      <w:r w:rsidRPr="00005E07">
        <w:rPr>
          <w:color w:val="555558"/>
          <w:spacing w:val="32"/>
          <w:sz w:val="17"/>
        </w:rPr>
        <w:t xml:space="preserve"> </w:t>
      </w:r>
      <w:r w:rsidRPr="00005E07">
        <w:rPr>
          <w:color w:val="555558"/>
          <w:sz w:val="17"/>
        </w:rPr>
        <w:t>und</w:t>
      </w:r>
      <w:r w:rsidRPr="00005E07">
        <w:rPr>
          <w:color w:val="555558"/>
          <w:spacing w:val="35"/>
          <w:sz w:val="17"/>
        </w:rPr>
        <w:t xml:space="preserve"> </w:t>
      </w:r>
      <w:r w:rsidRPr="00005E07">
        <w:rPr>
          <w:color w:val="555558"/>
          <w:sz w:val="17"/>
        </w:rPr>
        <w:t>die</w:t>
      </w:r>
      <w:r w:rsidRPr="00005E07">
        <w:rPr>
          <w:color w:val="555558"/>
          <w:spacing w:val="35"/>
          <w:sz w:val="17"/>
        </w:rPr>
        <w:t xml:space="preserve"> </w:t>
      </w:r>
      <w:r w:rsidRPr="00005E07">
        <w:rPr>
          <w:color w:val="555558"/>
          <w:sz w:val="17"/>
        </w:rPr>
        <w:t>Erträge</w:t>
      </w:r>
      <w:r w:rsidRPr="00005E07">
        <w:rPr>
          <w:color w:val="555558"/>
          <w:spacing w:val="35"/>
          <w:sz w:val="17"/>
        </w:rPr>
        <w:t xml:space="preserve"> </w:t>
      </w:r>
      <w:r w:rsidRPr="00005E07">
        <w:rPr>
          <w:color w:val="555558"/>
          <w:sz w:val="17"/>
        </w:rPr>
        <w:t>im</w:t>
      </w:r>
      <w:r w:rsidRPr="00005E07">
        <w:rPr>
          <w:color w:val="555558"/>
          <w:spacing w:val="34"/>
          <w:sz w:val="17"/>
        </w:rPr>
        <w:t xml:space="preserve"> </w:t>
      </w:r>
      <w:r w:rsidRPr="00005E07">
        <w:rPr>
          <w:color w:val="555558"/>
          <w:sz w:val="17"/>
        </w:rPr>
        <w:t>Bereich</w:t>
      </w:r>
      <w:r w:rsidRPr="00005E07">
        <w:rPr>
          <w:color w:val="555558"/>
          <w:spacing w:val="35"/>
          <w:sz w:val="17"/>
        </w:rPr>
        <w:t xml:space="preserve"> </w:t>
      </w:r>
      <w:r w:rsidRPr="00005E07">
        <w:rPr>
          <w:color w:val="555558"/>
          <w:sz w:val="17"/>
        </w:rPr>
        <w:t>Geschäftskunden</w:t>
      </w:r>
      <w:r w:rsidRPr="00005E07">
        <w:rPr>
          <w:color w:val="555558"/>
          <w:spacing w:val="32"/>
          <w:sz w:val="17"/>
        </w:rPr>
        <w:t xml:space="preserve"> </w:t>
      </w:r>
      <w:r w:rsidRPr="00005E07">
        <w:rPr>
          <w:color w:val="555558"/>
          <w:sz w:val="17"/>
        </w:rPr>
        <w:t>um</w:t>
      </w:r>
      <w:r w:rsidRPr="00005E07">
        <w:rPr>
          <w:color w:val="555558"/>
          <w:spacing w:val="34"/>
          <w:sz w:val="17"/>
        </w:rPr>
        <w:t xml:space="preserve"> </w:t>
      </w:r>
      <w:r w:rsidRPr="00005E07">
        <w:rPr>
          <w:color w:val="555558"/>
          <w:sz w:val="17"/>
        </w:rPr>
        <w:t>5%</w:t>
      </w:r>
      <w:r w:rsidRPr="00005E07">
        <w:rPr>
          <w:color w:val="555558"/>
          <w:spacing w:val="31"/>
          <w:sz w:val="17"/>
        </w:rPr>
        <w:t xml:space="preserve"> </w:t>
      </w:r>
      <w:r w:rsidRPr="00005E07">
        <w:rPr>
          <w:color w:val="555558"/>
          <w:sz w:val="17"/>
        </w:rPr>
        <w:t>auf 1,0 Mrd. € sanken.</w:t>
      </w:r>
    </w:p>
    <w:p w:rsidR="00005E07" w:rsidRPr="00491588" w:rsidRDefault="00005E07" w:rsidP="00491588">
      <w:pPr>
        <w:tabs>
          <w:tab w:val="left" w:pos="645"/>
        </w:tabs>
        <w:spacing w:after="120" w:line="264" w:lineRule="auto"/>
        <w:jc w:val="both"/>
        <w:rPr>
          <w:sz w:val="17"/>
        </w:rPr>
      </w:pPr>
      <w:r w:rsidRPr="00005E07">
        <w:rPr>
          <w:color w:val="555558"/>
          <w:sz w:val="17"/>
        </w:rPr>
        <w:t xml:space="preserve">In der </w:t>
      </w:r>
      <w:r w:rsidRPr="00005E07">
        <w:rPr>
          <w:sz w:val="17"/>
        </w:rPr>
        <w:t xml:space="preserve">Investmentbank </w:t>
      </w:r>
      <w:r w:rsidRPr="00005E07">
        <w:rPr>
          <w:color w:val="555558"/>
          <w:sz w:val="17"/>
        </w:rPr>
        <w:t>legten die Erträge im dritten Quartal um 11% auf 2,5 Mrd.</w:t>
      </w:r>
      <w:r w:rsidRPr="00005E07">
        <w:rPr>
          <w:color w:val="555558"/>
          <w:spacing w:val="-2"/>
          <w:sz w:val="17"/>
        </w:rPr>
        <w:t xml:space="preserve"> </w:t>
      </w:r>
      <w:r w:rsidRPr="00005E07">
        <w:rPr>
          <w:color w:val="555558"/>
          <w:sz w:val="17"/>
        </w:rPr>
        <w:t>€ zu, wobei sowohl die Erträge im Geschäft mit festverzinslichen Wertpapieren und Währungen (FIC) als auch die Erträge im Emissions- und Beratungsgeschäft</w:t>
      </w:r>
      <w:r w:rsidRPr="00005E07">
        <w:rPr>
          <w:color w:val="555558"/>
          <w:spacing w:val="26"/>
          <w:sz w:val="17"/>
        </w:rPr>
        <w:t xml:space="preserve"> </w:t>
      </w:r>
      <w:r w:rsidRPr="00005E07">
        <w:rPr>
          <w:color w:val="555558"/>
          <w:sz w:val="17"/>
        </w:rPr>
        <w:t>über</w:t>
      </w:r>
      <w:r w:rsidRPr="00005E07">
        <w:rPr>
          <w:color w:val="555558"/>
          <w:spacing w:val="26"/>
          <w:sz w:val="17"/>
        </w:rPr>
        <w:t xml:space="preserve"> </w:t>
      </w:r>
      <w:r w:rsidRPr="00005E07">
        <w:rPr>
          <w:color w:val="555558"/>
          <w:sz w:val="17"/>
        </w:rPr>
        <w:t>dem</w:t>
      </w:r>
      <w:r w:rsidRPr="00005E07">
        <w:rPr>
          <w:color w:val="555558"/>
          <w:spacing w:val="27"/>
          <w:sz w:val="17"/>
        </w:rPr>
        <w:t xml:space="preserve"> </w:t>
      </w:r>
      <w:r w:rsidRPr="00005E07">
        <w:rPr>
          <w:color w:val="555558"/>
          <w:sz w:val="17"/>
        </w:rPr>
        <w:t>Niveau</w:t>
      </w:r>
      <w:r w:rsidRPr="00005E07">
        <w:rPr>
          <w:color w:val="555558"/>
          <w:spacing w:val="29"/>
          <w:sz w:val="17"/>
        </w:rPr>
        <w:t xml:space="preserve"> </w:t>
      </w:r>
      <w:r w:rsidRPr="00005E07">
        <w:rPr>
          <w:color w:val="555558"/>
          <w:sz w:val="17"/>
        </w:rPr>
        <w:t>des</w:t>
      </w:r>
      <w:r w:rsidRPr="00005E07">
        <w:rPr>
          <w:color w:val="555558"/>
          <w:spacing w:val="29"/>
          <w:sz w:val="17"/>
        </w:rPr>
        <w:t xml:space="preserve"> </w:t>
      </w:r>
      <w:r w:rsidRPr="00005E07">
        <w:rPr>
          <w:color w:val="555558"/>
          <w:sz w:val="17"/>
        </w:rPr>
        <w:t>Vorjahresquartals</w:t>
      </w:r>
      <w:r w:rsidRPr="00005E07">
        <w:rPr>
          <w:color w:val="555558"/>
          <w:spacing w:val="29"/>
          <w:sz w:val="17"/>
        </w:rPr>
        <w:t xml:space="preserve"> </w:t>
      </w:r>
      <w:r w:rsidRPr="00005E07">
        <w:rPr>
          <w:color w:val="555558"/>
          <w:sz w:val="17"/>
        </w:rPr>
        <w:t>lagen.</w:t>
      </w:r>
      <w:r w:rsidRPr="00005E07">
        <w:rPr>
          <w:color w:val="555558"/>
          <w:spacing w:val="28"/>
          <w:sz w:val="17"/>
        </w:rPr>
        <w:t xml:space="preserve"> </w:t>
      </w:r>
      <w:r w:rsidRPr="00005E07">
        <w:rPr>
          <w:color w:val="555558"/>
          <w:sz w:val="17"/>
        </w:rPr>
        <w:t>Die</w:t>
      </w:r>
      <w:r w:rsidRPr="00005E07">
        <w:rPr>
          <w:color w:val="555558"/>
          <w:spacing w:val="29"/>
          <w:sz w:val="17"/>
        </w:rPr>
        <w:t xml:space="preserve"> </w:t>
      </w:r>
      <w:r w:rsidRPr="00005E07">
        <w:rPr>
          <w:color w:val="555558"/>
          <w:sz w:val="17"/>
        </w:rPr>
        <w:t>Erträge</w:t>
      </w:r>
      <w:r w:rsidRPr="00005E07">
        <w:rPr>
          <w:color w:val="555558"/>
          <w:spacing w:val="26"/>
          <w:sz w:val="17"/>
        </w:rPr>
        <w:t xml:space="preserve"> </w:t>
      </w:r>
      <w:r w:rsidRPr="00005E07">
        <w:rPr>
          <w:color w:val="555558"/>
          <w:sz w:val="17"/>
        </w:rPr>
        <w:t>im</w:t>
      </w:r>
      <w:r w:rsidRPr="00005E07">
        <w:rPr>
          <w:color w:val="555558"/>
          <w:spacing w:val="27"/>
          <w:sz w:val="17"/>
        </w:rPr>
        <w:t xml:space="preserve"> </w:t>
      </w:r>
      <w:r w:rsidRPr="00005E07">
        <w:rPr>
          <w:color w:val="555558"/>
          <w:sz w:val="17"/>
        </w:rPr>
        <w:t>FIC-Geschäft</w:t>
      </w:r>
      <w:r w:rsidRPr="00005E07">
        <w:rPr>
          <w:color w:val="555558"/>
          <w:spacing w:val="26"/>
          <w:sz w:val="17"/>
        </w:rPr>
        <w:t xml:space="preserve"> </w:t>
      </w:r>
      <w:r w:rsidRPr="00005E07">
        <w:rPr>
          <w:color w:val="555558"/>
          <w:sz w:val="17"/>
        </w:rPr>
        <w:t>stiegen</w:t>
      </w:r>
      <w:r w:rsidRPr="00005E07">
        <w:rPr>
          <w:color w:val="555558"/>
          <w:spacing w:val="29"/>
          <w:sz w:val="17"/>
        </w:rPr>
        <w:t xml:space="preserve"> </w:t>
      </w:r>
      <w:r w:rsidRPr="00005E07">
        <w:rPr>
          <w:color w:val="555558"/>
          <w:sz w:val="17"/>
        </w:rPr>
        <w:t>um</w:t>
      </w:r>
      <w:r w:rsidRPr="00005E07">
        <w:rPr>
          <w:color w:val="555558"/>
          <w:spacing w:val="25"/>
          <w:sz w:val="17"/>
        </w:rPr>
        <w:t xml:space="preserve"> </w:t>
      </w:r>
      <w:r w:rsidRPr="00005E07">
        <w:rPr>
          <w:color w:val="555558"/>
          <w:sz w:val="17"/>
        </w:rPr>
        <w:t>11%</w:t>
      </w:r>
      <w:r w:rsidRPr="00005E07">
        <w:rPr>
          <w:color w:val="555558"/>
          <w:spacing w:val="27"/>
          <w:sz w:val="17"/>
        </w:rPr>
        <w:t xml:space="preserve"> </w:t>
      </w:r>
      <w:r w:rsidRPr="00005E07">
        <w:rPr>
          <w:color w:val="555558"/>
          <w:sz w:val="17"/>
        </w:rPr>
        <w:t>auf 2,1 Mrd.</w:t>
      </w:r>
      <w:r w:rsidRPr="00005E07">
        <w:rPr>
          <w:color w:val="555558"/>
          <w:spacing w:val="-3"/>
          <w:sz w:val="17"/>
        </w:rPr>
        <w:t xml:space="preserve"> </w:t>
      </w:r>
      <w:r w:rsidRPr="00005E07">
        <w:rPr>
          <w:color w:val="555558"/>
          <w:sz w:val="17"/>
        </w:rPr>
        <w:t>€.</w:t>
      </w:r>
      <w:r w:rsidRPr="00005E07">
        <w:rPr>
          <w:color w:val="555558"/>
          <w:spacing w:val="-1"/>
          <w:sz w:val="17"/>
        </w:rPr>
        <w:t xml:space="preserve"> </w:t>
      </w:r>
      <w:r w:rsidRPr="00005E07">
        <w:rPr>
          <w:color w:val="555558"/>
          <w:sz w:val="17"/>
        </w:rPr>
        <w:t>Dabei</w:t>
      </w:r>
      <w:r w:rsidRPr="00005E07">
        <w:rPr>
          <w:color w:val="555558"/>
          <w:spacing w:val="-1"/>
          <w:sz w:val="17"/>
        </w:rPr>
        <w:t xml:space="preserve"> </w:t>
      </w:r>
      <w:r w:rsidRPr="00005E07">
        <w:rPr>
          <w:color w:val="555558"/>
          <w:sz w:val="17"/>
        </w:rPr>
        <w:t>legten</w:t>
      </w:r>
      <w:r w:rsidRPr="00005E07">
        <w:rPr>
          <w:color w:val="555558"/>
          <w:spacing w:val="-1"/>
          <w:sz w:val="17"/>
        </w:rPr>
        <w:t xml:space="preserve"> </w:t>
      </w:r>
      <w:r w:rsidRPr="00005E07">
        <w:rPr>
          <w:color w:val="555558"/>
          <w:sz w:val="17"/>
        </w:rPr>
        <w:t>die</w:t>
      </w:r>
      <w:r w:rsidRPr="00005E07">
        <w:rPr>
          <w:color w:val="555558"/>
          <w:spacing w:val="-1"/>
          <w:sz w:val="17"/>
        </w:rPr>
        <w:t xml:space="preserve"> </w:t>
      </w:r>
      <w:r w:rsidRPr="00005E07">
        <w:rPr>
          <w:color w:val="555558"/>
          <w:sz w:val="17"/>
        </w:rPr>
        <w:t>Erträge</w:t>
      </w:r>
      <w:r w:rsidRPr="00005E07">
        <w:rPr>
          <w:color w:val="555558"/>
          <w:spacing w:val="-1"/>
          <w:sz w:val="17"/>
        </w:rPr>
        <w:t xml:space="preserve"> </w:t>
      </w:r>
      <w:r w:rsidRPr="00005E07">
        <w:rPr>
          <w:color w:val="555558"/>
          <w:sz w:val="17"/>
        </w:rPr>
        <w:t>im</w:t>
      </w:r>
      <w:r w:rsidRPr="00005E07">
        <w:rPr>
          <w:color w:val="555558"/>
          <w:spacing w:val="-2"/>
          <w:sz w:val="17"/>
        </w:rPr>
        <w:t xml:space="preserve"> </w:t>
      </w:r>
      <w:r w:rsidRPr="00005E07">
        <w:rPr>
          <w:color w:val="555558"/>
          <w:sz w:val="17"/>
        </w:rPr>
        <w:t>Kredithandel</w:t>
      </w:r>
      <w:r w:rsidRPr="00005E07">
        <w:rPr>
          <w:color w:val="555558"/>
          <w:spacing w:val="-1"/>
          <w:sz w:val="17"/>
        </w:rPr>
        <w:t xml:space="preserve"> </w:t>
      </w:r>
      <w:r w:rsidRPr="00005E07">
        <w:rPr>
          <w:color w:val="555558"/>
          <w:sz w:val="17"/>
        </w:rPr>
        <w:t>aufgrund</w:t>
      </w:r>
      <w:r w:rsidRPr="00005E07">
        <w:rPr>
          <w:color w:val="555558"/>
          <w:spacing w:val="-1"/>
          <w:sz w:val="17"/>
        </w:rPr>
        <w:t xml:space="preserve"> </w:t>
      </w:r>
      <w:r w:rsidRPr="00005E07">
        <w:rPr>
          <w:color w:val="555558"/>
          <w:sz w:val="17"/>
        </w:rPr>
        <w:t>des</w:t>
      </w:r>
      <w:r w:rsidRPr="00005E07">
        <w:rPr>
          <w:color w:val="555558"/>
          <w:spacing w:val="-3"/>
          <w:sz w:val="17"/>
        </w:rPr>
        <w:t xml:space="preserve"> </w:t>
      </w:r>
      <w:r w:rsidRPr="00005E07">
        <w:rPr>
          <w:color w:val="555558"/>
          <w:sz w:val="17"/>
        </w:rPr>
        <w:t>starken Geschäfts mit</w:t>
      </w:r>
      <w:r w:rsidRPr="00005E07">
        <w:rPr>
          <w:color w:val="555558"/>
          <w:spacing w:val="-1"/>
          <w:sz w:val="17"/>
        </w:rPr>
        <w:t xml:space="preserve"> </w:t>
      </w:r>
      <w:r w:rsidRPr="00005E07">
        <w:rPr>
          <w:color w:val="555558"/>
          <w:sz w:val="17"/>
        </w:rPr>
        <w:t>ausfallgefährdeten</w:t>
      </w:r>
      <w:r w:rsidRPr="00005E07">
        <w:rPr>
          <w:color w:val="555558"/>
          <w:spacing w:val="-1"/>
          <w:sz w:val="17"/>
        </w:rPr>
        <w:t xml:space="preserve"> </w:t>
      </w:r>
      <w:r w:rsidRPr="00005E07">
        <w:rPr>
          <w:color w:val="555558"/>
          <w:sz w:val="17"/>
        </w:rPr>
        <w:t>Krediten</w:t>
      </w:r>
      <w:r w:rsidRPr="00005E07">
        <w:rPr>
          <w:color w:val="555558"/>
          <w:spacing w:val="-1"/>
          <w:sz w:val="17"/>
        </w:rPr>
        <w:t xml:space="preserve"> </w:t>
      </w:r>
      <w:r w:rsidRPr="00005E07">
        <w:rPr>
          <w:color w:val="555558"/>
          <w:sz w:val="17"/>
        </w:rPr>
        <w:t>und des</w:t>
      </w:r>
      <w:r w:rsidRPr="00005E07">
        <w:rPr>
          <w:color w:val="555558"/>
          <w:spacing w:val="-1"/>
          <w:sz w:val="17"/>
        </w:rPr>
        <w:t xml:space="preserve"> </w:t>
      </w:r>
      <w:r w:rsidRPr="00005E07">
        <w:rPr>
          <w:color w:val="555558"/>
          <w:sz w:val="17"/>
        </w:rPr>
        <w:t>anhaltenden Wachstums</w:t>
      </w:r>
      <w:r w:rsidRPr="00005E07">
        <w:rPr>
          <w:color w:val="555558"/>
          <w:spacing w:val="-1"/>
          <w:sz w:val="17"/>
        </w:rPr>
        <w:t xml:space="preserve"> </w:t>
      </w:r>
      <w:r w:rsidRPr="00005E07">
        <w:rPr>
          <w:color w:val="555558"/>
          <w:sz w:val="17"/>
        </w:rPr>
        <w:t>im</w:t>
      </w:r>
      <w:r w:rsidRPr="00005E07">
        <w:rPr>
          <w:color w:val="555558"/>
          <w:spacing w:val="-2"/>
          <w:sz w:val="17"/>
        </w:rPr>
        <w:t xml:space="preserve"> </w:t>
      </w:r>
      <w:r w:rsidRPr="00005E07">
        <w:rPr>
          <w:color w:val="555558"/>
          <w:sz w:val="17"/>
        </w:rPr>
        <w:t>Flow-Geschäft</w:t>
      </w:r>
      <w:r w:rsidRPr="00005E07">
        <w:rPr>
          <w:color w:val="555558"/>
          <w:spacing w:val="-4"/>
          <w:sz w:val="17"/>
        </w:rPr>
        <w:t xml:space="preserve"> </w:t>
      </w:r>
      <w:r w:rsidRPr="00005E07">
        <w:rPr>
          <w:color w:val="555558"/>
          <w:sz w:val="17"/>
        </w:rPr>
        <w:t>deutlich</w:t>
      </w:r>
      <w:r w:rsidRPr="00005E07">
        <w:rPr>
          <w:color w:val="555558"/>
          <w:spacing w:val="-1"/>
          <w:sz w:val="17"/>
        </w:rPr>
        <w:t xml:space="preserve"> </w:t>
      </w:r>
      <w:r w:rsidRPr="00005E07">
        <w:rPr>
          <w:color w:val="555558"/>
          <w:sz w:val="17"/>
        </w:rPr>
        <w:t>zu.</w:t>
      </w:r>
      <w:r w:rsidRPr="00005E07">
        <w:rPr>
          <w:color w:val="555558"/>
          <w:spacing w:val="-1"/>
          <w:sz w:val="17"/>
        </w:rPr>
        <w:t xml:space="preserve"> </w:t>
      </w:r>
      <w:r w:rsidRPr="00005E07">
        <w:rPr>
          <w:color w:val="555558"/>
          <w:sz w:val="17"/>
        </w:rPr>
        <w:t>Letzteres profitiere</w:t>
      </w:r>
      <w:r w:rsidRPr="00005E07">
        <w:rPr>
          <w:color w:val="555558"/>
          <w:spacing w:val="-1"/>
          <w:sz w:val="17"/>
        </w:rPr>
        <w:t xml:space="preserve"> </w:t>
      </w:r>
      <w:r w:rsidRPr="00005E07">
        <w:rPr>
          <w:color w:val="555558"/>
          <w:sz w:val="17"/>
        </w:rPr>
        <w:t>von</w:t>
      </w:r>
      <w:r w:rsidRPr="00005E07">
        <w:rPr>
          <w:color w:val="555558"/>
          <w:spacing w:val="-1"/>
          <w:sz w:val="17"/>
        </w:rPr>
        <w:t xml:space="preserve"> </w:t>
      </w:r>
      <w:r w:rsidRPr="00005E07">
        <w:rPr>
          <w:color w:val="555558"/>
          <w:sz w:val="17"/>
        </w:rPr>
        <w:t>früheren</w:t>
      </w:r>
      <w:r w:rsidRPr="00005E07">
        <w:rPr>
          <w:color w:val="555558"/>
          <w:spacing w:val="-1"/>
          <w:sz w:val="17"/>
        </w:rPr>
        <w:t xml:space="preserve"> </w:t>
      </w:r>
      <w:r w:rsidRPr="00005E07">
        <w:rPr>
          <w:color w:val="555558"/>
          <w:sz w:val="17"/>
        </w:rPr>
        <w:t>Investitionen.</w:t>
      </w:r>
      <w:r w:rsidRPr="00005E07">
        <w:rPr>
          <w:color w:val="555558"/>
          <w:spacing w:val="-1"/>
          <w:sz w:val="17"/>
        </w:rPr>
        <w:t xml:space="preserve"> </w:t>
      </w:r>
      <w:r w:rsidRPr="00005E07">
        <w:rPr>
          <w:color w:val="555558"/>
          <w:sz w:val="17"/>
        </w:rPr>
        <w:t>Die Erträge</w:t>
      </w:r>
      <w:r w:rsidRPr="00005E07">
        <w:rPr>
          <w:color w:val="555558"/>
          <w:spacing w:val="-3"/>
          <w:sz w:val="17"/>
        </w:rPr>
        <w:t xml:space="preserve"> </w:t>
      </w:r>
      <w:r w:rsidRPr="00005E07">
        <w:rPr>
          <w:color w:val="555558"/>
          <w:sz w:val="17"/>
        </w:rPr>
        <w:t>im Geschäft mit Schwellenländern stiegen aufgrund von Wachstum in allen Regionen deutlich an. Der Handel mit Zinsprodukten verzeichnete im Vergleich zum Vorjahr niedrigere Erträge. Dies war auf das weiterhin unsichere Marktumfeld</w:t>
      </w:r>
      <w:r w:rsidRPr="00005E07">
        <w:rPr>
          <w:color w:val="555558"/>
          <w:spacing w:val="-12"/>
          <w:sz w:val="17"/>
        </w:rPr>
        <w:t xml:space="preserve"> </w:t>
      </w:r>
      <w:r w:rsidRPr="00005E07">
        <w:rPr>
          <w:color w:val="555558"/>
          <w:sz w:val="17"/>
        </w:rPr>
        <w:t>zurückzuführen.</w:t>
      </w:r>
      <w:r w:rsidRPr="00005E07">
        <w:rPr>
          <w:color w:val="555558"/>
          <w:spacing w:val="-11"/>
          <w:sz w:val="17"/>
        </w:rPr>
        <w:t xml:space="preserve"> </w:t>
      </w:r>
      <w:r w:rsidRPr="00005E07">
        <w:rPr>
          <w:color w:val="555558"/>
          <w:sz w:val="17"/>
        </w:rPr>
        <w:t>Die</w:t>
      </w:r>
      <w:r w:rsidRPr="00005E07">
        <w:rPr>
          <w:color w:val="555558"/>
          <w:spacing w:val="-8"/>
          <w:sz w:val="17"/>
        </w:rPr>
        <w:t xml:space="preserve"> </w:t>
      </w:r>
      <w:r w:rsidRPr="00005E07">
        <w:rPr>
          <w:color w:val="555558"/>
          <w:sz w:val="17"/>
        </w:rPr>
        <w:t>Erträge</w:t>
      </w:r>
      <w:r w:rsidRPr="00005E07">
        <w:rPr>
          <w:color w:val="555558"/>
          <w:spacing w:val="-10"/>
          <w:sz w:val="17"/>
        </w:rPr>
        <w:t xml:space="preserve"> </w:t>
      </w:r>
      <w:r w:rsidRPr="00005E07">
        <w:rPr>
          <w:color w:val="555558"/>
          <w:sz w:val="17"/>
        </w:rPr>
        <w:t>im</w:t>
      </w:r>
      <w:r w:rsidRPr="00005E07">
        <w:rPr>
          <w:color w:val="555558"/>
          <w:spacing w:val="-11"/>
          <w:sz w:val="17"/>
        </w:rPr>
        <w:t xml:space="preserve"> </w:t>
      </w:r>
      <w:r w:rsidRPr="00005E07">
        <w:rPr>
          <w:color w:val="555558"/>
          <w:sz w:val="17"/>
        </w:rPr>
        <w:t>Währungshandel</w:t>
      </w:r>
      <w:r w:rsidRPr="00005E07">
        <w:rPr>
          <w:color w:val="555558"/>
          <w:spacing w:val="-10"/>
          <w:sz w:val="17"/>
        </w:rPr>
        <w:t xml:space="preserve"> </w:t>
      </w:r>
      <w:r w:rsidRPr="00005E07">
        <w:rPr>
          <w:color w:val="555558"/>
          <w:sz w:val="17"/>
        </w:rPr>
        <w:t>stiegen</w:t>
      </w:r>
      <w:r w:rsidRPr="00005E07">
        <w:rPr>
          <w:color w:val="555558"/>
          <w:spacing w:val="-12"/>
          <w:sz w:val="17"/>
        </w:rPr>
        <w:t xml:space="preserve"> </w:t>
      </w:r>
      <w:r w:rsidRPr="00005E07">
        <w:rPr>
          <w:color w:val="555558"/>
          <w:sz w:val="17"/>
        </w:rPr>
        <w:t>aufgrund</w:t>
      </w:r>
      <w:r w:rsidRPr="00005E07">
        <w:rPr>
          <w:color w:val="555558"/>
          <w:spacing w:val="-12"/>
          <w:sz w:val="17"/>
        </w:rPr>
        <w:t xml:space="preserve"> </w:t>
      </w:r>
      <w:r w:rsidRPr="00005E07">
        <w:rPr>
          <w:color w:val="555558"/>
          <w:sz w:val="17"/>
        </w:rPr>
        <w:t>der</w:t>
      </w:r>
      <w:r w:rsidRPr="00005E07">
        <w:rPr>
          <w:color w:val="555558"/>
          <w:spacing w:val="-10"/>
          <w:sz w:val="17"/>
        </w:rPr>
        <w:t xml:space="preserve"> </w:t>
      </w:r>
      <w:r w:rsidRPr="00005E07">
        <w:rPr>
          <w:color w:val="555558"/>
          <w:sz w:val="17"/>
        </w:rPr>
        <w:t>anhaltenden</w:t>
      </w:r>
      <w:r w:rsidRPr="00005E07">
        <w:rPr>
          <w:color w:val="555558"/>
          <w:spacing w:val="-12"/>
          <w:sz w:val="17"/>
        </w:rPr>
        <w:t xml:space="preserve"> </w:t>
      </w:r>
      <w:r w:rsidRPr="00005E07">
        <w:rPr>
          <w:color w:val="555558"/>
          <w:sz w:val="17"/>
        </w:rPr>
        <w:t>Stärke</w:t>
      </w:r>
      <w:r w:rsidRPr="00005E07">
        <w:rPr>
          <w:color w:val="555558"/>
          <w:spacing w:val="-9"/>
          <w:sz w:val="17"/>
        </w:rPr>
        <w:t xml:space="preserve"> </w:t>
      </w:r>
      <w:r w:rsidRPr="00005E07">
        <w:rPr>
          <w:color w:val="555558"/>
          <w:sz w:val="17"/>
        </w:rPr>
        <w:t>im</w:t>
      </w:r>
      <w:r w:rsidRPr="00005E07">
        <w:rPr>
          <w:color w:val="555558"/>
          <w:spacing w:val="-11"/>
          <w:sz w:val="17"/>
        </w:rPr>
        <w:t xml:space="preserve"> </w:t>
      </w:r>
      <w:r w:rsidRPr="00005E07">
        <w:rPr>
          <w:color w:val="555558"/>
          <w:sz w:val="17"/>
        </w:rPr>
        <w:t>Kassageschäft. Im</w:t>
      </w:r>
      <w:r w:rsidRPr="00005E07">
        <w:rPr>
          <w:color w:val="555558"/>
          <w:spacing w:val="-4"/>
          <w:sz w:val="17"/>
        </w:rPr>
        <w:t xml:space="preserve"> </w:t>
      </w:r>
      <w:r w:rsidRPr="00005E07">
        <w:rPr>
          <w:color w:val="555558"/>
          <w:sz w:val="17"/>
        </w:rPr>
        <w:t>Finanzierungsgeschäft</w:t>
      </w:r>
      <w:r w:rsidRPr="00005E07">
        <w:rPr>
          <w:color w:val="555558"/>
          <w:spacing w:val="-6"/>
          <w:sz w:val="17"/>
        </w:rPr>
        <w:t xml:space="preserve"> </w:t>
      </w:r>
      <w:r w:rsidRPr="00005E07">
        <w:rPr>
          <w:color w:val="555558"/>
          <w:sz w:val="17"/>
        </w:rPr>
        <w:t>blieben</w:t>
      </w:r>
      <w:r w:rsidRPr="00005E07">
        <w:rPr>
          <w:color w:val="555558"/>
          <w:spacing w:val="-5"/>
          <w:sz w:val="17"/>
        </w:rPr>
        <w:t xml:space="preserve"> </w:t>
      </w:r>
      <w:r w:rsidRPr="00005E07">
        <w:rPr>
          <w:color w:val="555558"/>
          <w:sz w:val="17"/>
        </w:rPr>
        <w:t>die</w:t>
      </w:r>
      <w:r w:rsidRPr="00005E07">
        <w:rPr>
          <w:color w:val="555558"/>
          <w:spacing w:val="-5"/>
          <w:sz w:val="17"/>
        </w:rPr>
        <w:t xml:space="preserve"> </w:t>
      </w:r>
      <w:r w:rsidRPr="00005E07">
        <w:rPr>
          <w:color w:val="555558"/>
          <w:sz w:val="17"/>
        </w:rPr>
        <w:t>Erträge</w:t>
      </w:r>
      <w:r w:rsidRPr="00005E07">
        <w:rPr>
          <w:color w:val="555558"/>
          <w:spacing w:val="-3"/>
          <w:sz w:val="17"/>
        </w:rPr>
        <w:t xml:space="preserve"> </w:t>
      </w:r>
      <w:r w:rsidRPr="00005E07">
        <w:rPr>
          <w:color w:val="555558"/>
          <w:sz w:val="17"/>
        </w:rPr>
        <w:t>im</w:t>
      </w:r>
      <w:r w:rsidRPr="00005E07">
        <w:rPr>
          <w:color w:val="555558"/>
          <w:spacing w:val="-4"/>
          <w:sz w:val="17"/>
        </w:rPr>
        <w:t xml:space="preserve"> </w:t>
      </w:r>
      <w:r w:rsidRPr="00005E07">
        <w:rPr>
          <w:color w:val="555558"/>
          <w:sz w:val="17"/>
        </w:rPr>
        <w:t>Vergleich</w:t>
      </w:r>
      <w:r w:rsidRPr="00005E07">
        <w:rPr>
          <w:color w:val="555558"/>
          <w:spacing w:val="-5"/>
          <w:sz w:val="17"/>
        </w:rPr>
        <w:t xml:space="preserve"> </w:t>
      </w:r>
      <w:r w:rsidRPr="00005E07">
        <w:rPr>
          <w:color w:val="555558"/>
          <w:sz w:val="17"/>
        </w:rPr>
        <w:t>zum</w:t>
      </w:r>
      <w:r w:rsidRPr="00005E07">
        <w:rPr>
          <w:color w:val="555558"/>
          <w:spacing w:val="-7"/>
          <w:sz w:val="17"/>
        </w:rPr>
        <w:t xml:space="preserve"> </w:t>
      </w:r>
      <w:r w:rsidRPr="00005E07">
        <w:rPr>
          <w:color w:val="555558"/>
          <w:sz w:val="17"/>
        </w:rPr>
        <w:t>Vorjahr</w:t>
      </w:r>
      <w:r w:rsidRPr="00005E07">
        <w:rPr>
          <w:color w:val="555558"/>
          <w:spacing w:val="-3"/>
          <w:sz w:val="17"/>
        </w:rPr>
        <w:t xml:space="preserve"> </w:t>
      </w:r>
      <w:r w:rsidRPr="00005E07">
        <w:rPr>
          <w:color w:val="555558"/>
          <w:sz w:val="17"/>
        </w:rPr>
        <w:t>im</w:t>
      </w:r>
      <w:r w:rsidRPr="00005E07">
        <w:rPr>
          <w:color w:val="555558"/>
          <w:spacing w:val="-7"/>
          <w:sz w:val="17"/>
        </w:rPr>
        <w:t xml:space="preserve"> </w:t>
      </w:r>
      <w:r w:rsidRPr="00005E07">
        <w:rPr>
          <w:color w:val="555558"/>
          <w:sz w:val="17"/>
        </w:rPr>
        <w:t>Wesentlichen</w:t>
      </w:r>
      <w:r w:rsidRPr="00005E07">
        <w:rPr>
          <w:color w:val="555558"/>
          <w:spacing w:val="-5"/>
          <w:sz w:val="17"/>
        </w:rPr>
        <w:t xml:space="preserve"> </w:t>
      </w:r>
      <w:r w:rsidRPr="00005E07">
        <w:rPr>
          <w:color w:val="555558"/>
          <w:sz w:val="17"/>
        </w:rPr>
        <w:t>stabil.</w:t>
      </w:r>
      <w:r w:rsidRPr="00005E07">
        <w:rPr>
          <w:color w:val="555558"/>
          <w:spacing w:val="-6"/>
          <w:sz w:val="17"/>
        </w:rPr>
        <w:t xml:space="preserve"> </w:t>
      </w:r>
      <w:r w:rsidRPr="00005E07">
        <w:rPr>
          <w:color w:val="555558"/>
          <w:sz w:val="17"/>
        </w:rPr>
        <w:t>Die</w:t>
      </w:r>
      <w:r w:rsidRPr="00005E07">
        <w:rPr>
          <w:color w:val="555558"/>
          <w:spacing w:val="-3"/>
          <w:sz w:val="17"/>
        </w:rPr>
        <w:t xml:space="preserve"> </w:t>
      </w:r>
      <w:r w:rsidRPr="00005E07">
        <w:rPr>
          <w:color w:val="555558"/>
          <w:sz w:val="17"/>
        </w:rPr>
        <w:t>Erträge</w:t>
      </w:r>
      <w:r w:rsidRPr="00005E07">
        <w:rPr>
          <w:color w:val="555558"/>
          <w:spacing w:val="-3"/>
          <w:sz w:val="17"/>
        </w:rPr>
        <w:t xml:space="preserve"> </w:t>
      </w:r>
      <w:r w:rsidRPr="00005E07">
        <w:rPr>
          <w:color w:val="555558"/>
          <w:sz w:val="17"/>
        </w:rPr>
        <w:t>im</w:t>
      </w:r>
      <w:r w:rsidRPr="00005E07">
        <w:rPr>
          <w:color w:val="555558"/>
          <w:spacing w:val="-7"/>
          <w:sz w:val="17"/>
        </w:rPr>
        <w:t xml:space="preserve"> </w:t>
      </w:r>
      <w:r w:rsidRPr="00005E07">
        <w:rPr>
          <w:color w:val="555558"/>
          <w:sz w:val="17"/>
        </w:rPr>
        <w:t>Emissions- und</w:t>
      </w:r>
      <w:r w:rsidRPr="00005E07">
        <w:rPr>
          <w:color w:val="555558"/>
          <w:spacing w:val="-3"/>
          <w:sz w:val="17"/>
        </w:rPr>
        <w:t xml:space="preserve"> </w:t>
      </w:r>
      <w:r w:rsidRPr="00005E07">
        <w:rPr>
          <w:color w:val="555558"/>
          <w:sz w:val="17"/>
        </w:rPr>
        <w:t>Beratungsgeschäft</w:t>
      </w:r>
      <w:r w:rsidRPr="00005E07">
        <w:rPr>
          <w:color w:val="555558"/>
          <w:spacing w:val="-4"/>
          <w:sz w:val="17"/>
        </w:rPr>
        <w:t xml:space="preserve"> </w:t>
      </w:r>
      <w:r w:rsidRPr="00005E07">
        <w:rPr>
          <w:color w:val="555558"/>
          <w:sz w:val="17"/>
        </w:rPr>
        <w:t>wuchsen</w:t>
      </w:r>
      <w:r w:rsidRPr="00005E07">
        <w:rPr>
          <w:color w:val="555558"/>
          <w:spacing w:val="-3"/>
          <w:sz w:val="17"/>
        </w:rPr>
        <w:t xml:space="preserve"> </w:t>
      </w:r>
      <w:r w:rsidRPr="00005E07">
        <w:rPr>
          <w:color w:val="555558"/>
          <w:sz w:val="17"/>
        </w:rPr>
        <w:t>über</w:t>
      </w:r>
      <w:r w:rsidRPr="00005E07">
        <w:rPr>
          <w:color w:val="555558"/>
          <w:spacing w:val="-3"/>
          <w:sz w:val="17"/>
        </w:rPr>
        <w:t xml:space="preserve"> </w:t>
      </w:r>
      <w:r w:rsidRPr="00005E07">
        <w:rPr>
          <w:color w:val="555558"/>
          <w:sz w:val="17"/>
        </w:rPr>
        <w:t>alle</w:t>
      </w:r>
      <w:r w:rsidRPr="00005E07">
        <w:rPr>
          <w:color w:val="555558"/>
          <w:spacing w:val="-3"/>
          <w:sz w:val="17"/>
        </w:rPr>
        <w:t xml:space="preserve"> </w:t>
      </w:r>
      <w:r w:rsidRPr="00005E07">
        <w:rPr>
          <w:color w:val="555558"/>
          <w:sz w:val="17"/>
        </w:rPr>
        <w:t>Bereiche</w:t>
      </w:r>
      <w:r w:rsidRPr="00005E07">
        <w:rPr>
          <w:color w:val="555558"/>
          <w:spacing w:val="-3"/>
          <w:sz w:val="17"/>
        </w:rPr>
        <w:t xml:space="preserve"> </w:t>
      </w:r>
      <w:r w:rsidRPr="00005E07">
        <w:rPr>
          <w:color w:val="555558"/>
          <w:sz w:val="17"/>
        </w:rPr>
        <w:t>hinweg</w:t>
      </w:r>
      <w:r w:rsidRPr="00005E07">
        <w:rPr>
          <w:color w:val="555558"/>
          <w:spacing w:val="-5"/>
          <w:sz w:val="17"/>
        </w:rPr>
        <w:t xml:space="preserve"> </w:t>
      </w:r>
      <w:r w:rsidRPr="00005E07">
        <w:rPr>
          <w:color w:val="555558"/>
          <w:sz w:val="17"/>
        </w:rPr>
        <w:t>um</w:t>
      </w:r>
      <w:r w:rsidRPr="00005E07">
        <w:rPr>
          <w:color w:val="555558"/>
          <w:spacing w:val="-7"/>
          <w:sz w:val="17"/>
        </w:rPr>
        <w:t xml:space="preserve"> </w:t>
      </w:r>
      <w:r w:rsidRPr="00005E07">
        <w:rPr>
          <w:color w:val="555558"/>
          <w:sz w:val="17"/>
        </w:rPr>
        <w:t>24%</w:t>
      </w:r>
      <w:r w:rsidRPr="00005E07">
        <w:rPr>
          <w:color w:val="555558"/>
          <w:spacing w:val="-7"/>
          <w:sz w:val="17"/>
        </w:rPr>
        <w:t xml:space="preserve"> </w:t>
      </w:r>
      <w:r w:rsidRPr="00005E07">
        <w:rPr>
          <w:color w:val="555558"/>
          <w:sz w:val="17"/>
        </w:rPr>
        <w:t>auf</w:t>
      </w:r>
      <w:r w:rsidRPr="00005E07">
        <w:rPr>
          <w:color w:val="555558"/>
          <w:spacing w:val="-4"/>
          <w:sz w:val="17"/>
        </w:rPr>
        <w:t xml:space="preserve"> </w:t>
      </w:r>
      <w:r w:rsidRPr="00005E07">
        <w:rPr>
          <w:color w:val="555558"/>
          <w:sz w:val="17"/>
        </w:rPr>
        <w:t>401 Mio.</w:t>
      </w:r>
      <w:r w:rsidRPr="00005E07">
        <w:rPr>
          <w:color w:val="555558"/>
          <w:spacing w:val="-4"/>
          <w:sz w:val="17"/>
        </w:rPr>
        <w:t xml:space="preserve"> </w:t>
      </w:r>
      <w:r w:rsidRPr="00005E07">
        <w:rPr>
          <w:color w:val="555558"/>
          <w:sz w:val="17"/>
        </w:rPr>
        <w:t>€.</w:t>
      </w:r>
      <w:r w:rsidRPr="00005E07">
        <w:rPr>
          <w:color w:val="555558"/>
          <w:spacing w:val="-4"/>
          <w:sz w:val="17"/>
        </w:rPr>
        <w:t xml:space="preserve"> </w:t>
      </w:r>
      <w:r w:rsidRPr="00005E07">
        <w:rPr>
          <w:color w:val="555558"/>
          <w:sz w:val="17"/>
        </w:rPr>
        <w:t>Dabei</w:t>
      </w:r>
      <w:r w:rsidRPr="00005E07">
        <w:rPr>
          <w:color w:val="555558"/>
          <w:spacing w:val="-4"/>
          <w:sz w:val="17"/>
        </w:rPr>
        <w:t xml:space="preserve"> </w:t>
      </w:r>
      <w:r w:rsidRPr="00005E07">
        <w:rPr>
          <w:color w:val="555558"/>
          <w:sz w:val="17"/>
        </w:rPr>
        <w:t>behauptete</w:t>
      </w:r>
      <w:r w:rsidRPr="00005E07">
        <w:rPr>
          <w:color w:val="555558"/>
          <w:spacing w:val="-5"/>
          <w:sz w:val="17"/>
        </w:rPr>
        <w:t xml:space="preserve"> </w:t>
      </w:r>
      <w:r w:rsidRPr="00005E07">
        <w:rPr>
          <w:color w:val="555558"/>
          <w:sz w:val="17"/>
        </w:rPr>
        <w:t>die</w:t>
      </w:r>
      <w:r w:rsidRPr="00005E07">
        <w:rPr>
          <w:color w:val="555558"/>
          <w:spacing w:val="-3"/>
          <w:sz w:val="17"/>
        </w:rPr>
        <w:t xml:space="preserve"> </w:t>
      </w:r>
      <w:r w:rsidRPr="00005E07">
        <w:rPr>
          <w:color w:val="555558"/>
          <w:sz w:val="17"/>
        </w:rPr>
        <w:t>Bank</w:t>
      </w:r>
      <w:r w:rsidRPr="00005E07">
        <w:rPr>
          <w:color w:val="555558"/>
          <w:spacing w:val="-3"/>
          <w:sz w:val="17"/>
        </w:rPr>
        <w:t xml:space="preserve"> </w:t>
      </w:r>
      <w:r w:rsidRPr="00005E07">
        <w:rPr>
          <w:color w:val="555558"/>
          <w:sz w:val="17"/>
        </w:rPr>
        <w:t>per</w:t>
      </w:r>
      <w:r w:rsidRPr="00005E07">
        <w:rPr>
          <w:color w:val="555558"/>
          <w:spacing w:val="-3"/>
          <w:sz w:val="17"/>
        </w:rPr>
        <w:t xml:space="preserve"> </w:t>
      </w:r>
      <w:r w:rsidRPr="00005E07">
        <w:rPr>
          <w:color w:val="555558"/>
          <w:sz w:val="17"/>
        </w:rPr>
        <w:t>Ende September ihre Position al</w:t>
      </w:r>
      <w:r w:rsidR="002F7469">
        <w:rPr>
          <w:color w:val="555558"/>
          <w:sz w:val="17"/>
        </w:rPr>
        <w:t>s Marktführerin in Deutschland.</w:t>
      </w:r>
    </w:p>
    <w:sectPr w:rsidR="00005E07" w:rsidRPr="004915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C36BC"/>
    <w:multiLevelType w:val="hybridMultilevel"/>
    <w:tmpl w:val="233AD1F6"/>
    <w:lvl w:ilvl="0" w:tplc="5462AB12">
      <w:numFmt w:val="bullet"/>
      <w:lvlText w:val="–"/>
      <w:lvlJc w:val="left"/>
      <w:pPr>
        <w:ind w:left="645" w:hanging="228"/>
      </w:pPr>
      <w:rPr>
        <w:rFonts w:ascii="Arial" w:eastAsia="Arial" w:hAnsi="Arial" w:cs="Arial" w:hint="default"/>
        <w:b w:val="0"/>
        <w:bCs w:val="0"/>
        <w:i w:val="0"/>
        <w:iCs w:val="0"/>
        <w:color w:val="555558"/>
        <w:spacing w:val="0"/>
        <w:w w:val="104"/>
        <w:sz w:val="17"/>
        <w:szCs w:val="17"/>
        <w:lang w:val="de-DE" w:eastAsia="en-US" w:bidi="ar-SA"/>
      </w:rPr>
    </w:lvl>
    <w:lvl w:ilvl="1" w:tplc="828233E8">
      <w:numFmt w:val="bullet"/>
      <w:lvlText w:val="•"/>
      <w:lvlJc w:val="left"/>
      <w:pPr>
        <w:ind w:left="1608" w:hanging="228"/>
      </w:pPr>
      <w:rPr>
        <w:rFonts w:hint="default"/>
        <w:lang w:val="de-DE" w:eastAsia="en-US" w:bidi="ar-SA"/>
      </w:rPr>
    </w:lvl>
    <w:lvl w:ilvl="2" w:tplc="9E4AE9EA">
      <w:numFmt w:val="bullet"/>
      <w:lvlText w:val="•"/>
      <w:lvlJc w:val="left"/>
      <w:pPr>
        <w:ind w:left="2577" w:hanging="228"/>
      </w:pPr>
      <w:rPr>
        <w:rFonts w:hint="default"/>
        <w:lang w:val="de-DE" w:eastAsia="en-US" w:bidi="ar-SA"/>
      </w:rPr>
    </w:lvl>
    <w:lvl w:ilvl="3" w:tplc="3E28D130">
      <w:numFmt w:val="bullet"/>
      <w:lvlText w:val="•"/>
      <w:lvlJc w:val="left"/>
      <w:pPr>
        <w:ind w:left="3545" w:hanging="228"/>
      </w:pPr>
      <w:rPr>
        <w:rFonts w:hint="default"/>
        <w:lang w:val="de-DE" w:eastAsia="en-US" w:bidi="ar-SA"/>
      </w:rPr>
    </w:lvl>
    <w:lvl w:ilvl="4" w:tplc="BA6E86FA">
      <w:numFmt w:val="bullet"/>
      <w:lvlText w:val="•"/>
      <w:lvlJc w:val="left"/>
      <w:pPr>
        <w:ind w:left="4514" w:hanging="228"/>
      </w:pPr>
      <w:rPr>
        <w:rFonts w:hint="default"/>
        <w:lang w:val="de-DE" w:eastAsia="en-US" w:bidi="ar-SA"/>
      </w:rPr>
    </w:lvl>
    <w:lvl w:ilvl="5" w:tplc="986AB69C">
      <w:numFmt w:val="bullet"/>
      <w:lvlText w:val="•"/>
      <w:lvlJc w:val="left"/>
      <w:pPr>
        <w:ind w:left="5482" w:hanging="228"/>
      </w:pPr>
      <w:rPr>
        <w:rFonts w:hint="default"/>
        <w:lang w:val="de-DE" w:eastAsia="en-US" w:bidi="ar-SA"/>
      </w:rPr>
    </w:lvl>
    <w:lvl w:ilvl="6" w:tplc="F89887CC">
      <w:numFmt w:val="bullet"/>
      <w:lvlText w:val="•"/>
      <w:lvlJc w:val="left"/>
      <w:pPr>
        <w:ind w:left="6451" w:hanging="228"/>
      </w:pPr>
      <w:rPr>
        <w:rFonts w:hint="default"/>
        <w:lang w:val="de-DE" w:eastAsia="en-US" w:bidi="ar-SA"/>
      </w:rPr>
    </w:lvl>
    <w:lvl w:ilvl="7" w:tplc="36BA0938">
      <w:numFmt w:val="bullet"/>
      <w:lvlText w:val="•"/>
      <w:lvlJc w:val="left"/>
      <w:pPr>
        <w:ind w:left="7419" w:hanging="228"/>
      </w:pPr>
      <w:rPr>
        <w:rFonts w:hint="default"/>
        <w:lang w:val="de-DE" w:eastAsia="en-US" w:bidi="ar-SA"/>
      </w:rPr>
    </w:lvl>
    <w:lvl w:ilvl="8" w:tplc="EF8EC1F8">
      <w:numFmt w:val="bullet"/>
      <w:lvlText w:val="•"/>
      <w:lvlJc w:val="left"/>
      <w:pPr>
        <w:ind w:left="8388" w:hanging="228"/>
      </w:pPr>
      <w:rPr>
        <w:rFonts w:hint="default"/>
        <w:lang w:val="de-DE"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E07"/>
    <w:rsid w:val="00005E07"/>
    <w:rsid w:val="002E0AEE"/>
    <w:rsid w:val="002F7469"/>
    <w:rsid w:val="00347CFF"/>
    <w:rsid w:val="003E0D14"/>
    <w:rsid w:val="00411A86"/>
    <w:rsid w:val="00491588"/>
    <w:rsid w:val="006845F5"/>
    <w:rsid w:val="006D40BA"/>
    <w:rsid w:val="00707BD4"/>
    <w:rsid w:val="00A27DAD"/>
    <w:rsid w:val="00AD497B"/>
    <w:rsid w:val="00D470CC"/>
    <w:rsid w:val="00D9760A"/>
    <w:rsid w:val="00FC42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D774C-7FE5-4CD3-A6E2-06DA349C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sid w:val="00005E07"/>
    <w:pPr>
      <w:widowControl w:val="0"/>
      <w:autoSpaceDE w:val="0"/>
      <w:autoSpaceDN w:val="0"/>
      <w:spacing w:after="0" w:line="240" w:lineRule="auto"/>
    </w:pPr>
    <w:rPr>
      <w:rFonts w:ascii="Arial" w:eastAsia="Arial" w:hAnsi="Arial" w:cs="Arial"/>
      <w:sz w:val="22"/>
    </w:rPr>
  </w:style>
  <w:style w:type="paragraph" w:styleId="berschrift1">
    <w:name w:val="heading 1"/>
    <w:basedOn w:val="Standard"/>
    <w:link w:val="berschrift1Zchn"/>
    <w:uiPriority w:val="1"/>
    <w:qFormat/>
    <w:rsid w:val="00005E07"/>
    <w:pPr>
      <w:ind w:left="417"/>
      <w:outlineLvl w:val="0"/>
    </w:pPr>
    <w:rPr>
      <w:sz w:val="38"/>
      <w:szCs w:val="38"/>
    </w:rPr>
  </w:style>
  <w:style w:type="paragraph" w:styleId="berschrift3">
    <w:name w:val="heading 3"/>
    <w:basedOn w:val="Standard"/>
    <w:next w:val="Standard"/>
    <w:link w:val="berschrift3Zchn"/>
    <w:uiPriority w:val="9"/>
    <w:semiHidden/>
    <w:unhideWhenUsed/>
    <w:qFormat/>
    <w:rsid w:val="00005E0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005E07"/>
    <w:rPr>
      <w:rFonts w:ascii="Arial" w:eastAsia="Arial" w:hAnsi="Arial" w:cs="Arial"/>
      <w:sz w:val="38"/>
      <w:szCs w:val="38"/>
    </w:rPr>
  </w:style>
  <w:style w:type="paragraph" w:styleId="Textkrper">
    <w:name w:val="Body Text"/>
    <w:basedOn w:val="Standard"/>
    <w:link w:val="TextkrperZchn"/>
    <w:uiPriority w:val="1"/>
    <w:qFormat/>
    <w:rsid w:val="00005E07"/>
    <w:rPr>
      <w:sz w:val="17"/>
      <w:szCs w:val="17"/>
    </w:rPr>
  </w:style>
  <w:style w:type="character" w:customStyle="1" w:styleId="TextkrperZchn">
    <w:name w:val="Textkörper Zchn"/>
    <w:basedOn w:val="Absatz-Standardschriftart"/>
    <w:link w:val="Textkrper"/>
    <w:uiPriority w:val="1"/>
    <w:rsid w:val="00005E07"/>
    <w:rPr>
      <w:rFonts w:ascii="Arial" w:eastAsia="Arial" w:hAnsi="Arial" w:cs="Arial"/>
      <w:sz w:val="17"/>
      <w:szCs w:val="17"/>
    </w:rPr>
  </w:style>
  <w:style w:type="paragraph" w:styleId="Listenabsatz">
    <w:name w:val="List Paragraph"/>
    <w:basedOn w:val="Standard"/>
    <w:uiPriority w:val="1"/>
    <w:qFormat/>
    <w:rsid w:val="00005E07"/>
    <w:pPr>
      <w:ind w:left="645" w:hanging="228"/>
    </w:pPr>
  </w:style>
  <w:style w:type="character" w:customStyle="1" w:styleId="berschrift3Zchn">
    <w:name w:val="Überschrift 3 Zchn"/>
    <w:basedOn w:val="Absatz-Standardschriftart"/>
    <w:link w:val="berschrift3"/>
    <w:uiPriority w:val="9"/>
    <w:semiHidden/>
    <w:rsid w:val="00005E07"/>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756</Words>
  <Characters>4593</Characters>
  <Application>Microsoft Office Word</Application>
  <DocSecurity>0</DocSecurity>
  <Lines>54</Lines>
  <Paragraphs>10</Paragraphs>
  <ScaleCrop>false</ScaleCrop>
  <HeadingPairs>
    <vt:vector size="2" baseType="variant">
      <vt:variant>
        <vt:lpstr>Titel</vt:lpstr>
      </vt:variant>
      <vt:variant>
        <vt:i4>1</vt:i4>
      </vt:variant>
    </vt:vector>
  </HeadingPairs>
  <TitlesOfParts>
    <vt:vector size="1" baseType="lpstr">
      <vt:lpstr/>
    </vt:vector>
  </TitlesOfParts>
  <Company>CIT</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11</cp:revision>
  <dcterms:created xsi:type="dcterms:W3CDTF">2024-11-01T14:38:00Z</dcterms:created>
  <dcterms:modified xsi:type="dcterms:W3CDTF">2024-11-12T16:03:00Z</dcterms:modified>
</cp:coreProperties>
</file>