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3D6F" w14:textId="77777777" w:rsidR="005B539A" w:rsidRPr="005B539A" w:rsidRDefault="005B539A" w:rsidP="005B539A">
      <w:pPr>
        <w:rPr>
          <w:rFonts w:ascii="Arial" w:hAnsi="Arial" w:cs="Arial"/>
          <w:sz w:val="20"/>
          <w:szCs w:val="20"/>
        </w:rPr>
      </w:pPr>
    </w:p>
    <w:p w14:paraId="59E493C7" w14:textId="77777777" w:rsidR="00863E20" w:rsidRPr="00136D7B" w:rsidRDefault="00863E20" w:rsidP="00EE2D31">
      <w:pPr>
        <w:jc w:val="center"/>
        <w:rPr>
          <w:rFonts w:ascii="Arial" w:hAnsi="Arial" w:cs="Arial"/>
          <w:lang w:val="en-GB"/>
        </w:rPr>
      </w:pPr>
      <w:r w:rsidRPr="00136D7B">
        <w:rPr>
          <w:rFonts w:ascii="Arial" w:hAnsi="Arial" w:cs="Arial"/>
          <w:lang w:val="en-GB"/>
        </w:rPr>
        <w:t>PART III</w:t>
      </w:r>
    </w:p>
    <w:p w14:paraId="31062BEF" w14:textId="77777777" w:rsidR="00863E20" w:rsidRPr="00136D7B" w:rsidRDefault="00863E20" w:rsidP="00EE2D31">
      <w:pPr>
        <w:jc w:val="center"/>
        <w:rPr>
          <w:rFonts w:ascii="Arial" w:hAnsi="Arial" w:cs="Arial"/>
          <w:lang w:val="en-GB"/>
        </w:rPr>
      </w:pPr>
      <w:r w:rsidRPr="00136D7B">
        <w:rPr>
          <w:rFonts w:ascii="Arial" w:hAnsi="Arial" w:cs="Arial"/>
          <w:lang w:val="en-GB"/>
        </w:rPr>
        <w:t>CRIMINAL LAW</w:t>
      </w:r>
    </w:p>
    <w:p w14:paraId="54D04637" w14:textId="77777777" w:rsidR="00863E20" w:rsidRPr="00136D7B" w:rsidRDefault="00863E20" w:rsidP="005B539A">
      <w:pPr>
        <w:rPr>
          <w:rFonts w:ascii="Arial" w:hAnsi="Arial" w:cs="Arial"/>
          <w:lang w:val="en-GB"/>
        </w:rPr>
      </w:pPr>
    </w:p>
    <w:p w14:paraId="55229661" w14:textId="77777777" w:rsidR="00863E20" w:rsidRPr="00136D7B" w:rsidRDefault="00EE2D31" w:rsidP="005B539A">
      <w:pPr>
        <w:rPr>
          <w:rFonts w:ascii="Arial" w:hAnsi="Arial" w:cs="Arial"/>
          <w:i/>
          <w:lang w:val="en-GB"/>
        </w:rPr>
      </w:pPr>
      <w:r w:rsidRPr="00136D7B">
        <w:rPr>
          <w:rFonts w:ascii="Arial" w:hAnsi="Arial" w:cs="Arial"/>
          <w:lang w:val="en-GB"/>
        </w:rPr>
        <w:t>III.1</w:t>
      </w:r>
      <w:r w:rsidR="00863E20" w:rsidRPr="00136D7B">
        <w:rPr>
          <w:rFonts w:ascii="Arial" w:hAnsi="Arial" w:cs="Arial"/>
          <w:lang w:val="en-GB"/>
        </w:rPr>
        <w:t xml:space="preserve">. </w:t>
      </w:r>
      <w:r w:rsidR="00863E20" w:rsidRPr="00136D7B">
        <w:rPr>
          <w:rFonts w:ascii="Arial" w:hAnsi="Arial" w:cs="Arial"/>
          <w:i/>
          <w:lang w:val="en-GB"/>
        </w:rPr>
        <w:t>History and System of Criminal Law</w:t>
      </w:r>
    </w:p>
    <w:p w14:paraId="2AEFDE62" w14:textId="77777777" w:rsidR="00863E20" w:rsidRPr="00E81C56" w:rsidRDefault="00863E20" w:rsidP="005B539A">
      <w:pPr>
        <w:rPr>
          <w:rFonts w:ascii="Arial" w:hAnsi="Arial" w:cs="Arial"/>
          <w:lang w:val="en-GB"/>
        </w:rPr>
      </w:pPr>
      <w:r w:rsidRPr="00136D7B">
        <w:rPr>
          <w:rFonts w:ascii="Arial" w:hAnsi="Arial" w:cs="Arial"/>
          <w:lang w:val="en-GB"/>
        </w:rPr>
        <w:t>A crime is a wrongful act or omission, usually having consequences harmful to the</w:t>
      </w:r>
      <w:r w:rsidR="005B539A" w:rsidRPr="00136D7B">
        <w:rPr>
          <w:rFonts w:ascii="Arial" w:hAnsi="Arial" w:cs="Arial"/>
          <w:lang w:val="en-GB"/>
        </w:rPr>
        <w:t xml:space="preserve"> </w:t>
      </w:r>
      <w:r w:rsidRPr="00136D7B">
        <w:rPr>
          <w:rFonts w:ascii="Arial" w:hAnsi="Arial" w:cs="Arial"/>
          <w:lang w:val="en-GB"/>
        </w:rPr>
        <w:t>community,</w:t>
      </w:r>
      <w:r w:rsidR="00E81C56">
        <w:rPr>
          <w:rStyle w:val="Funotenzeichen"/>
          <w:rFonts w:ascii="Arial" w:hAnsi="Arial" w:cs="Arial"/>
        </w:rPr>
        <w:footnoteReference w:id="1"/>
      </w:r>
      <w:r w:rsidRPr="00136D7B">
        <w:rPr>
          <w:rFonts w:ascii="Arial" w:hAnsi="Arial" w:cs="Arial"/>
          <w:lang w:val="en-GB"/>
        </w:rPr>
        <w:t xml:space="preserve"> and which is punished by the state following upon appropriate</w:t>
      </w:r>
      <w:r w:rsidR="005B539A" w:rsidRPr="00136D7B">
        <w:rPr>
          <w:rFonts w:ascii="Arial" w:hAnsi="Arial" w:cs="Arial"/>
          <w:lang w:val="en-GB"/>
        </w:rPr>
        <w:t xml:space="preserve"> </w:t>
      </w:r>
      <w:r w:rsidRPr="00136D7B">
        <w:rPr>
          <w:rFonts w:ascii="Arial" w:hAnsi="Arial" w:cs="Arial"/>
          <w:lang w:val="en-GB"/>
        </w:rPr>
        <w:t>procedures.</w:t>
      </w:r>
      <w:r w:rsidR="00E81C56">
        <w:rPr>
          <w:rStyle w:val="Funotenzeichen"/>
          <w:rFonts w:ascii="Arial" w:hAnsi="Arial" w:cs="Arial"/>
        </w:rPr>
        <w:footnoteReference w:id="2"/>
      </w:r>
      <w:r w:rsidRPr="00136D7B">
        <w:rPr>
          <w:rFonts w:ascii="Arial" w:hAnsi="Arial" w:cs="Arial"/>
          <w:lang w:val="en-GB"/>
        </w:rPr>
        <w:t xml:space="preserve"> The function of the criminal law is the retributive punishment of an</w:t>
      </w:r>
      <w:r w:rsidR="005B539A" w:rsidRPr="00136D7B">
        <w:rPr>
          <w:rFonts w:ascii="Arial" w:hAnsi="Arial" w:cs="Arial"/>
          <w:lang w:val="en-GB"/>
        </w:rPr>
        <w:t xml:space="preserve"> </w:t>
      </w:r>
      <w:r w:rsidRPr="00136D7B">
        <w:rPr>
          <w:rFonts w:ascii="Arial" w:hAnsi="Arial" w:cs="Arial"/>
          <w:lang w:val="en-GB"/>
        </w:rPr>
        <w:t>offender, not the compensation of someone who has suffered by reason of the unlawful</w:t>
      </w:r>
      <w:r w:rsidR="005B539A" w:rsidRPr="00136D7B">
        <w:rPr>
          <w:rFonts w:ascii="Arial" w:hAnsi="Arial" w:cs="Arial"/>
          <w:lang w:val="en-GB"/>
        </w:rPr>
        <w:t xml:space="preserve"> </w:t>
      </w:r>
      <w:r w:rsidRPr="00136D7B">
        <w:rPr>
          <w:rFonts w:ascii="Arial" w:hAnsi="Arial" w:cs="Arial"/>
          <w:lang w:val="en-GB"/>
        </w:rPr>
        <w:t>act.</w:t>
      </w:r>
      <w:r w:rsidR="00E81C56">
        <w:rPr>
          <w:rStyle w:val="Funotenzeichen"/>
          <w:rFonts w:ascii="Arial" w:hAnsi="Arial" w:cs="Arial"/>
        </w:rPr>
        <w:footnoteReference w:id="3"/>
      </w:r>
      <w:r w:rsidRPr="00E81C56">
        <w:rPr>
          <w:rFonts w:ascii="Arial" w:hAnsi="Arial" w:cs="Arial"/>
          <w:lang w:val="en-GB"/>
        </w:rPr>
        <w:t xml:space="preserve"> The criminal law may also have other aims, such as deterrence of others from</w:t>
      </w:r>
      <w:r w:rsidR="005B539A" w:rsidRPr="00E81C56">
        <w:rPr>
          <w:rFonts w:ascii="Arial" w:hAnsi="Arial" w:cs="Arial"/>
          <w:lang w:val="en-GB"/>
        </w:rPr>
        <w:t xml:space="preserve"> </w:t>
      </w:r>
      <w:r w:rsidRPr="00E81C56">
        <w:rPr>
          <w:rFonts w:ascii="Arial" w:hAnsi="Arial" w:cs="Arial"/>
          <w:lang w:val="en-GB"/>
        </w:rPr>
        <w:t>committing crime, and the condemnation of the proscribed conduct by society.</w:t>
      </w:r>
    </w:p>
    <w:p w14:paraId="4F331298" w14:textId="77777777" w:rsidR="00863E20" w:rsidRPr="00136D7B" w:rsidRDefault="00863E20" w:rsidP="005B539A">
      <w:pPr>
        <w:rPr>
          <w:rFonts w:ascii="Arial" w:hAnsi="Arial" w:cs="Arial"/>
          <w:lang w:val="en-GB"/>
        </w:rPr>
      </w:pPr>
      <w:r w:rsidRPr="00136D7B">
        <w:rPr>
          <w:rFonts w:ascii="Arial" w:hAnsi="Arial" w:cs="Arial"/>
          <w:lang w:val="en-GB"/>
        </w:rPr>
        <w:t>Retribution is the immediate, and arguably the fundamental purpose in the infliction of</w:t>
      </w:r>
      <w:r w:rsidR="005B539A" w:rsidRPr="00136D7B">
        <w:rPr>
          <w:rFonts w:ascii="Arial" w:hAnsi="Arial" w:cs="Arial"/>
          <w:lang w:val="en-GB"/>
        </w:rPr>
        <w:t xml:space="preserve"> </w:t>
      </w:r>
      <w:r w:rsidRPr="00136D7B">
        <w:rPr>
          <w:rFonts w:ascii="Arial" w:hAnsi="Arial" w:cs="Arial"/>
          <w:lang w:val="en-GB"/>
        </w:rPr>
        <w:t>punishment on a particular offender. In addition, through punishment the offender may</w:t>
      </w:r>
      <w:r w:rsidR="005B539A" w:rsidRPr="00136D7B">
        <w:rPr>
          <w:rFonts w:ascii="Arial" w:hAnsi="Arial" w:cs="Arial"/>
          <w:lang w:val="en-GB"/>
        </w:rPr>
        <w:t xml:space="preserve"> </w:t>
      </w:r>
      <w:r w:rsidRPr="00136D7B">
        <w:rPr>
          <w:rFonts w:ascii="Arial" w:hAnsi="Arial" w:cs="Arial"/>
          <w:lang w:val="en-GB"/>
        </w:rPr>
        <w:t>expiate his crime, and there may also be an associated reformation of the criminal</w:t>
      </w:r>
      <w:r w:rsidR="005B539A" w:rsidRPr="00136D7B">
        <w:rPr>
          <w:rFonts w:ascii="Arial" w:hAnsi="Arial" w:cs="Arial"/>
          <w:lang w:val="en-GB"/>
        </w:rPr>
        <w:t xml:space="preserve"> </w:t>
      </w:r>
      <w:r w:rsidRPr="00136D7B">
        <w:rPr>
          <w:rFonts w:ascii="Arial" w:hAnsi="Arial" w:cs="Arial"/>
          <w:lang w:val="en-GB"/>
        </w:rPr>
        <w:t>through post-conviction procedures. These additional aims are secondary to the purpose</w:t>
      </w:r>
      <w:r w:rsidR="005B539A" w:rsidRPr="00136D7B">
        <w:rPr>
          <w:rFonts w:ascii="Arial" w:hAnsi="Arial" w:cs="Arial"/>
          <w:lang w:val="en-GB"/>
        </w:rPr>
        <w:t xml:space="preserve"> </w:t>
      </w:r>
      <w:r w:rsidRPr="00136D7B">
        <w:rPr>
          <w:rFonts w:ascii="Arial" w:hAnsi="Arial" w:cs="Arial"/>
          <w:lang w:val="en-GB"/>
        </w:rPr>
        <w:t>of retribution, which provides the nexus between crime and punishment, and its</w:t>
      </w:r>
      <w:r w:rsidR="005B539A" w:rsidRPr="00136D7B">
        <w:rPr>
          <w:rFonts w:ascii="Arial" w:hAnsi="Arial" w:cs="Arial"/>
          <w:lang w:val="en-GB"/>
        </w:rPr>
        <w:t xml:space="preserve"> </w:t>
      </w:r>
      <w:r w:rsidRPr="00136D7B">
        <w:rPr>
          <w:rFonts w:ascii="Arial" w:hAnsi="Arial" w:cs="Arial"/>
          <w:lang w:val="en-GB"/>
        </w:rPr>
        <w:t>justification. Were retribution not a necessary element there is no reason why the</w:t>
      </w:r>
      <w:r w:rsidR="005B539A" w:rsidRPr="00136D7B">
        <w:rPr>
          <w:rFonts w:ascii="Arial" w:hAnsi="Arial" w:cs="Arial"/>
          <w:lang w:val="en-GB"/>
        </w:rPr>
        <w:t xml:space="preserve"> </w:t>
      </w:r>
      <w:r w:rsidRPr="00136D7B">
        <w:rPr>
          <w:rFonts w:ascii="Arial" w:hAnsi="Arial" w:cs="Arial"/>
          <w:lang w:val="en-GB"/>
        </w:rPr>
        <w:t>criminal process should not be used pre-emptively to deal with persons thought likely to</w:t>
      </w:r>
      <w:r w:rsidR="005B539A" w:rsidRPr="00136D7B">
        <w:rPr>
          <w:rFonts w:ascii="Arial" w:hAnsi="Arial" w:cs="Arial"/>
          <w:lang w:val="en-GB"/>
        </w:rPr>
        <w:t xml:space="preserve"> </w:t>
      </w:r>
      <w:r w:rsidRPr="00136D7B">
        <w:rPr>
          <w:rFonts w:ascii="Arial" w:hAnsi="Arial" w:cs="Arial"/>
          <w:lang w:val="en-GB"/>
        </w:rPr>
        <w:t>commit offences. Of course, where questions of sanity are concerned action may lawfully</w:t>
      </w:r>
      <w:r w:rsidR="005B539A" w:rsidRPr="00136D7B">
        <w:rPr>
          <w:rFonts w:ascii="Arial" w:hAnsi="Arial" w:cs="Arial"/>
          <w:lang w:val="en-GB"/>
        </w:rPr>
        <w:t xml:space="preserve"> </w:t>
      </w:r>
      <w:r w:rsidRPr="00136D7B">
        <w:rPr>
          <w:rFonts w:ascii="Arial" w:hAnsi="Arial" w:cs="Arial"/>
          <w:lang w:val="en-GB"/>
        </w:rPr>
        <w:t>be taken before an offence is committed, and there are circumstances in which crime can</w:t>
      </w:r>
      <w:r w:rsidR="005B539A" w:rsidRPr="00136D7B">
        <w:rPr>
          <w:rFonts w:ascii="Arial" w:hAnsi="Arial" w:cs="Arial"/>
          <w:lang w:val="en-GB"/>
        </w:rPr>
        <w:t xml:space="preserve"> </w:t>
      </w:r>
      <w:r w:rsidRPr="00136D7B">
        <w:rPr>
          <w:rFonts w:ascii="Arial" w:hAnsi="Arial" w:cs="Arial"/>
          <w:lang w:val="en-GB"/>
        </w:rPr>
        <w:t>and should be prevented. However, the normal position from which British law operates</w:t>
      </w:r>
      <w:r w:rsidR="005B539A" w:rsidRPr="00136D7B">
        <w:rPr>
          <w:rFonts w:ascii="Arial" w:hAnsi="Arial" w:cs="Arial"/>
          <w:lang w:val="en-GB"/>
        </w:rPr>
        <w:t xml:space="preserve"> </w:t>
      </w:r>
      <w:r w:rsidRPr="00136D7B">
        <w:rPr>
          <w:rFonts w:ascii="Arial" w:hAnsi="Arial" w:cs="Arial"/>
          <w:lang w:val="en-GB"/>
        </w:rPr>
        <w:t>is that an offence must be committed, or be just about to be committed, before the civil</w:t>
      </w:r>
      <w:r w:rsidR="005B539A" w:rsidRPr="00136D7B">
        <w:rPr>
          <w:rFonts w:ascii="Arial" w:hAnsi="Arial" w:cs="Arial"/>
          <w:lang w:val="en-GB"/>
        </w:rPr>
        <w:t xml:space="preserve"> </w:t>
      </w:r>
      <w:r w:rsidRPr="00136D7B">
        <w:rPr>
          <w:rFonts w:ascii="Arial" w:hAnsi="Arial" w:cs="Arial"/>
          <w:lang w:val="en-GB"/>
        </w:rPr>
        <w:t>authority will intervene. Potential criminals are not tackled until that potentiality is about</w:t>
      </w:r>
      <w:r w:rsidR="005B539A" w:rsidRPr="00136D7B">
        <w:rPr>
          <w:rFonts w:ascii="Arial" w:hAnsi="Arial" w:cs="Arial"/>
          <w:lang w:val="en-GB"/>
        </w:rPr>
        <w:t xml:space="preserve"> </w:t>
      </w:r>
      <w:r w:rsidRPr="00136D7B">
        <w:rPr>
          <w:rFonts w:ascii="Arial" w:hAnsi="Arial" w:cs="Arial"/>
          <w:lang w:val="en-GB"/>
        </w:rPr>
        <w:t>to be or has been realised.</w:t>
      </w:r>
    </w:p>
    <w:p w14:paraId="755D2583" w14:textId="77777777" w:rsidR="00863E20" w:rsidRPr="00136D7B" w:rsidRDefault="00863E20" w:rsidP="005B539A">
      <w:pPr>
        <w:rPr>
          <w:rFonts w:ascii="Arial" w:hAnsi="Arial" w:cs="Arial"/>
          <w:lang w:val="en-GB"/>
        </w:rPr>
      </w:pPr>
      <w:r w:rsidRPr="00136D7B">
        <w:rPr>
          <w:rFonts w:ascii="Arial" w:hAnsi="Arial" w:cs="Arial"/>
          <w:lang w:val="en-GB"/>
        </w:rPr>
        <w:t>In</w:t>
      </w:r>
      <w:r w:rsidR="005B539A" w:rsidRPr="00136D7B">
        <w:rPr>
          <w:rFonts w:ascii="Arial" w:hAnsi="Arial" w:cs="Arial"/>
          <w:lang w:val="en-GB"/>
        </w:rPr>
        <w:t xml:space="preserve"> </w:t>
      </w:r>
      <w:r w:rsidRPr="00136D7B">
        <w:rPr>
          <w:rFonts w:ascii="Arial" w:hAnsi="Arial" w:cs="Arial"/>
          <w:lang w:val="en-GB"/>
        </w:rPr>
        <w:t>the</w:t>
      </w:r>
      <w:r w:rsidR="005B539A" w:rsidRPr="00136D7B">
        <w:rPr>
          <w:rFonts w:ascii="Arial" w:hAnsi="Arial" w:cs="Arial"/>
          <w:lang w:val="en-GB"/>
        </w:rPr>
        <w:t xml:space="preserve"> </w:t>
      </w:r>
      <w:r w:rsidRPr="00136D7B">
        <w:rPr>
          <w:rFonts w:ascii="Arial" w:hAnsi="Arial" w:cs="Arial"/>
          <w:lang w:val="en-GB"/>
        </w:rPr>
        <w:t>usual</w:t>
      </w:r>
      <w:r w:rsidR="005B539A" w:rsidRPr="00136D7B">
        <w:rPr>
          <w:rFonts w:ascii="Arial" w:hAnsi="Arial" w:cs="Arial"/>
          <w:lang w:val="en-GB"/>
        </w:rPr>
        <w:t xml:space="preserve"> </w:t>
      </w:r>
      <w:r w:rsidRPr="00136D7B">
        <w:rPr>
          <w:rFonts w:ascii="Arial" w:hAnsi="Arial" w:cs="Arial"/>
          <w:lang w:val="en-GB"/>
        </w:rPr>
        <w:t>instance,</w:t>
      </w:r>
      <w:r w:rsidR="005B539A" w:rsidRPr="00136D7B">
        <w:rPr>
          <w:rFonts w:ascii="Arial" w:hAnsi="Arial" w:cs="Arial"/>
          <w:lang w:val="en-GB"/>
        </w:rPr>
        <w:t xml:space="preserve"> </w:t>
      </w:r>
      <w:r w:rsidRPr="00136D7B">
        <w:rPr>
          <w:rFonts w:ascii="Arial" w:hAnsi="Arial" w:cs="Arial"/>
          <w:lang w:val="en-GB"/>
        </w:rPr>
        <w:t>a breach</w:t>
      </w:r>
      <w:r w:rsidR="005B539A" w:rsidRPr="00136D7B">
        <w:rPr>
          <w:rFonts w:ascii="Arial" w:hAnsi="Arial" w:cs="Arial"/>
          <w:lang w:val="en-GB"/>
        </w:rPr>
        <w:t xml:space="preserve"> </w:t>
      </w:r>
      <w:r w:rsidRPr="00136D7B">
        <w:rPr>
          <w:rFonts w:ascii="Arial" w:hAnsi="Arial" w:cs="Arial"/>
          <w:lang w:val="en-GB"/>
        </w:rPr>
        <w:t>of the</w:t>
      </w:r>
      <w:r w:rsidR="005B539A" w:rsidRPr="00136D7B">
        <w:rPr>
          <w:rFonts w:ascii="Arial" w:hAnsi="Arial" w:cs="Arial"/>
          <w:lang w:val="en-GB"/>
        </w:rPr>
        <w:t xml:space="preserve"> </w:t>
      </w:r>
      <w:r w:rsidRPr="00136D7B">
        <w:rPr>
          <w:rFonts w:ascii="Arial" w:hAnsi="Arial" w:cs="Arial"/>
          <w:lang w:val="en-GB"/>
        </w:rPr>
        <w:t>law is either</w:t>
      </w:r>
      <w:r w:rsidR="005B539A" w:rsidRPr="00136D7B">
        <w:rPr>
          <w:rFonts w:ascii="Arial" w:hAnsi="Arial" w:cs="Arial"/>
          <w:lang w:val="en-GB"/>
        </w:rPr>
        <w:t xml:space="preserve"> </w:t>
      </w:r>
      <w:r w:rsidRPr="00136D7B">
        <w:rPr>
          <w:rFonts w:ascii="Arial" w:hAnsi="Arial" w:cs="Arial"/>
          <w:lang w:val="en-GB"/>
        </w:rPr>
        <w:t>a crime</w:t>
      </w:r>
      <w:r w:rsidR="005B539A" w:rsidRPr="00136D7B">
        <w:rPr>
          <w:rFonts w:ascii="Arial" w:hAnsi="Arial" w:cs="Arial"/>
          <w:lang w:val="en-GB"/>
        </w:rPr>
        <w:t xml:space="preserve"> </w:t>
      </w:r>
      <w:r w:rsidRPr="00136D7B">
        <w:rPr>
          <w:rFonts w:ascii="Arial" w:hAnsi="Arial" w:cs="Arial"/>
          <w:lang w:val="en-GB"/>
        </w:rPr>
        <w:t>(a</w:t>
      </w:r>
      <w:r w:rsidR="005B539A" w:rsidRPr="00136D7B">
        <w:rPr>
          <w:rFonts w:ascii="Arial" w:hAnsi="Arial" w:cs="Arial"/>
          <w:lang w:val="en-GB"/>
        </w:rPr>
        <w:t xml:space="preserve"> </w:t>
      </w:r>
      <w:r w:rsidRPr="00136D7B">
        <w:rPr>
          <w:rFonts w:ascii="Arial" w:hAnsi="Arial" w:cs="Arial"/>
          <w:lang w:val="en-GB"/>
        </w:rPr>
        <w:t>criminal</w:t>
      </w:r>
      <w:r w:rsidR="005B539A" w:rsidRPr="00136D7B">
        <w:rPr>
          <w:rFonts w:ascii="Arial" w:hAnsi="Arial" w:cs="Arial"/>
          <w:lang w:val="en-GB"/>
        </w:rPr>
        <w:t xml:space="preserve"> </w:t>
      </w:r>
      <w:r w:rsidRPr="00136D7B">
        <w:rPr>
          <w:rFonts w:ascii="Arial" w:hAnsi="Arial" w:cs="Arial"/>
          <w:lang w:val="en-GB"/>
        </w:rPr>
        <w:t>offence)</w:t>
      </w:r>
      <w:r w:rsidR="005B539A" w:rsidRPr="00136D7B">
        <w:rPr>
          <w:rFonts w:ascii="Arial" w:hAnsi="Arial" w:cs="Arial"/>
          <w:lang w:val="en-GB"/>
        </w:rPr>
        <w:t xml:space="preserve"> </w:t>
      </w:r>
      <w:r w:rsidRPr="00136D7B">
        <w:rPr>
          <w:rFonts w:ascii="Arial" w:hAnsi="Arial" w:cs="Arial"/>
          <w:lang w:val="en-GB"/>
        </w:rPr>
        <w:t>or a</w:t>
      </w:r>
      <w:r w:rsidR="005B539A" w:rsidRPr="00136D7B">
        <w:rPr>
          <w:rFonts w:ascii="Arial" w:hAnsi="Arial" w:cs="Arial"/>
          <w:lang w:val="en-GB"/>
        </w:rPr>
        <w:t xml:space="preserve"> </w:t>
      </w:r>
      <w:r w:rsidRPr="00136D7B">
        <w:rPr>
          <w:rFonts w:ascii="Arial" w:hAnsi="Arial" w:cs="Arial"/>
          <w:lang w:val="en-GB"/>
        </w:rPr>
        <w:t>civil wrong.</w:t>
      </w:r>
      <w:r w:rsidR="00E81C56">
        <w:rPr>
          <w:rStyle w:val="Funotenzeichen"/>
          <w:rFonts w:ascii="Arial" w:hAnsi="Arial" w:cs="Arial"/>
        </w:rPr>
        <w:footnoteReference w:id="4"/>
      </w:r>
      <w:r w:rsidRPr="00E81C56">
        <w:rPr>
          <w:rFonts w:ascii="Arial" w:hAnsi="Arial" w:cs="Arial"/>
          <w:lang w:val="en-GB"/>
        </w:rPr>
        <w:t xml:space="preserve"> Normally</w:t>
      </w:r>
      <w:r w:rsidR="005B539A" w:rsidRPr="00E81C56">
        <w:rPr>
          <w:rFonts w:ascii="Arial" w:hAnsi="Arial" w:cs="Arial"/>
          <w:lang w:val="en-GB"/>
        </w:rPr>
        <w:t xml:space="preserve"> </w:t>
      </w:r>
      <w:r w:rsidRPr="00E81C56">
        <w:rPr>
          <w:rFonts w:ascii="Arial" w:hAnsi="Arial" w:cs="Arial"/>
          <w:lang w:val="en-GB"/>
        </w:rPr>
        <w:t>such a breach</w:t>
      </w:r>
      <w:r w:rsidR="005B539A" w:rsidRPr="00E81C56">
        <w:rPr>
          <w:rFonts w:ascii="Arial" w:hAnsi="Arial" w:cs="Arial"/>
          <w:lang w:val="en-GB"/>
        </w:rPr>
        <w:t xml:space="preserve"> </w:t>
      </w:r>
      <w:r w:rsidRPr="00E81C56">
        <w:rPr>
          <w:rFonts w:ascii="Arial" w:hAnsi="Arial" w:cs="Arial"/>
          <w:lang w:val="en-GB"/>
        </w:rPr>
        <w:t>has a single set of consequences</w:t>
      </w:r>
      <w:r w:rsidR="005B539A" w:rsidRPr="00E81C56">
        <w:rPr>
          <w:rFonts w:ascii="Arial" w:hAnsi="Arial" w:cs="Arial"/>
          <w:lang w:val="en-GB"/>
        </w:rPr>
        <w:t xml:space="preserve"> </w:t>
      </w:r>
      <w:r w:rsidRPr="00E81C56">
        <w:rPr>
          <w:rFonts w:ascii="Arial" w:hAnsi="Arial" w:cs="Arial"/>
          <w:lang w:val="en-GB"/>
        </w:rPr>
        <w:t>-</w:t>
      </w:r>
      <w:r w:rsidR="005B539A" w:rsidRPr="00E81C56">
        <w:rPr>
          <w:rFonts w:ascii="Arial" w:hAnsi="Arial" w:cs="Arial"/>
          <w:lang w:val="en-GB"/>
        </w:rPr>
        <w:t xml:space="preserve"> </w:t>
      </w:r>
      <w:r w:rsidRPr="00E81C56">
        <w:rPr>
          <w:rFonts w:ascii="Arial" w:hAnsi="Arial" w:cs="Arial"/>
          <w:lang w:val="en-GB"/>
        </w:rPr>
        <w:t>either</w:t>
      </w:r>
      <w:r w:rsidR="005B539A" w:rsidRPr="00E81C56">
        <w:rPr>
          <w:rFonts w:ascii="Arial" w:hAnsi="Arial" w:cs="Arial"/>
          <w:lang w:val="en-GB"/>
        </w:rPr>
        <w:t xml:space="preserve"> </w:t>
      </w:r>
      <w:r w:rsidRPr="00E81C56">
        <w:rPr>
          <w:rFonts w:ascii="Arial" w:hAnsi="Arial" w:cs="Arial"/>
          <w:lang w:val="en-GB"/>
        </w:rPr>
        <w:t xml:space="preserve">criminal or civil. </w:t>
      </w:r>
      <w:r w:rsidRPr="00136D7B">
        <w:rPr>
          <w:rFonts w:ascii="Arial" w:hAnsi="Arial" w:cs="Arial"/>
          <w:lang w:val="en-GB"/>
        </w:rPr>
        <w:t>However, a crime and a civil wrong can be committed in a single act. This is because a crime and a civil wrong are distinguished not by the nature of the act</w:t>
      </w:r>
      <w:r w:rsidR="005B539A" w:rsidRPr="00136D7B">
        <w:rPr>
          <w:rFonts w:ascii="Arial" w:hAnsi="Arial" w:cs="Arial"/>
          <w:lang w:val="en-GB"/>
        </w:rPr>
        <w:t xml:space="preserve"> </w:t>
      </w:r>
      <w:r w:rsidRPr="00136D7B">
        <w:rPr>
          <w:rFonts w:ascii="Arial" w:hAnsi="Arial" w:cs="Arial"/>
          <w:lang w:val="en-GB"/>
        </w:rPr>
        <w:t>which</w:t>
      </w:r>
      <w:r w:rsidR="005B539A" w:rsidRPr="00136D7B">
        <w:rPr>
          <w:rFonts w:ascii="Arial" w:hAnsi="Arial" w:cs="Arial"/>
          <w:lang w:val="en-GB"/>
        </w:rPr>
        <w:t xml:space="preserve"> </w:t>
      </w:r>
      <w:r w:rsidRPr="00136D7B">
        <w:rPr>
          <w:rFonts w:ascii="Arial" w:hAnsi="Arial" w:cs="Arial"/>
          <w:lang w:val="en-GB"/>
        </w:rPr>
        <w:t>gives rise to them, but by the legal consequences which follow. If the subsequent proceedings are criminal trial, a crime has been committed; if civil, a civil wrong has been committed. In the case of criminal proceedings a prosecutor prosecutes</w:t>
      </w:r>
      <w:r w:rsidR="005B539A" w:rsidRPr="00136D7B">
        <w:rPr>
          <w:rFonts w:ascii="Arial" w:hAnsi="Arial" w:cs="Arial"/>
          <w:lang w:val="en-GB"/>
        </w:rPr>
        <w:t xml:space="preserve"> </w:t>
      </w:r>
      <w:r w:rsidRPr="00136D7B">
        <w:rPr>
          <w:rFonts w:ascii="Arial" w:hAnsi="Arial" w:cs="Arial"/>
          <w:lang w:val="en-GB"/>
        </w:rPr>
        <w:t>the</w:t>
      </w:r>
      <w:r w:rsidR="005B539A" w:rsidRPr="00136D7B">
        <w:rPr>
          <w:rFonts w:ascii="Arial" w:hAnsi="Arial" w:cs="Arial"/>
          <w:lang w:val="en-GB"/>
        </w:rPr>
        <w:t xml:space="preserve"> </w:t>
      </w:r>
      <w:r w:rsidRPr="00136D7B">
        <w:rPr>
          <w:rFonts w:ascii="Arial" w:hAnsi="Arial" w:cs="Arial"/>
          <w:lang w:val="en-GB"/>
        </w:rPr>
        <w:t>defendant (Scot. = accused or pannel) on a criminal charge. If the</w:t>
      </w:r>
      <w:r w:rsidR="005B539A" w:rsidRPr="00136D7B">
        <w:rPr>
          <w:rFonts w:ascii="Arial" w:hAnsi="Arial" w:cs="Arial"/>
          <w:lang w:val="en-GB"/>
        </w:rPr>
        <w:t xml:space="preserve"> </w:t>
      </w:r>
      <w:r w:rsidRPr="00136D7B">
        <w:rPr>
          <w:rFonts w:ascii="Arial" w:hAnsi="Arial" w:cs="Arial"/>
          <w:lang w:val="en-GB"/>
        </w:rPr>
        <w:t>prosecutor</w:t>
      </w:r>
      <w:r w:rsidR="005B539A" w:rsidRPr="00136D7B">
        <w:rPr>
          <w:rFonts w:ascii="Arial" w:hAnsi="Arial" w:cs="Arial"/>
          <w:lang w:val="en-GB"/>
        </w:rPr>
        <w:t xml:space="preserve"> </w:t>
      </w:r>
      <w:r w:rsidRPr="00136D7B">
        <w:rPr>
          <w:rFonts w:ascii="Arial" w:hAnsi="Arial" w:cs="Arial"/>
          <w:lang w:val="en-GB"/>
        </w:rPr>
        <w:t>succeeds</w:t>
      </w:r>
      <w:r w:rsidR="005B539A" w:rsidRPr="00136D7B">
        <w:rPr>
          <w:rFonts w:ascii="Arial" w:hAnsi="Arial" w:cs="Arial"/>
          <w:lang w:val="en-GB"/>
        </w:rPr>
        <w:t xml:space="preserve"> </w:t>
      </w:r>
      <w:r w:rsidRPr="00136D7B">
        <w:rPr>
          <w:rFonts w:ascii="Arial" w:hAnsi="Arial" w:cs="Arial"/>
          <w:lang w:val="en-GB"/>
        </w:rPr>
        <w:t>the</w:t>
      </w:r>
      <w:r w:rsidR="005B539A" w:rsidRPr="00136D7B">
        <w:rPr>
          <w:rFonts w:ascii="Arial" w:hAnsi="Arial" w:cs="Arial"/>
          <w:lang w:val="en-GB"/>
        </w:rPr>
        <w:t xml:space="preserve"> </w:t>
      </w:r>
      <w:r w:rsidRPr="00136D7B">
        <w:rPr>
          <w:rFonts w:ascii="Arial" w:hAnsi="Arial" w:cs="Arial"/>
          <w:lang w:val="en-GB"/>
        </w:rPr>
        <w:t>defendant</w:t>
      </w:r>
      <w:r w:rsidR="005B539A" w:rsidRPr="00136D7B">
        <w:rPr>
          <w:rFonts w:ascii="Arial" w:hAnsi="Arial" w:cs="Arial"/>
          <w:lang w:val="en-GB"/>
        </w:rPr>
        <w:t xml:space="preserve"> </w:t>
      </w:r>
      <w:r w:rsidRPr="00136D7B">
        <w:rPr>
          <w:rFonts w:ascii="Arial" w:hAnsi="Arial" w:cs="Arial"/>
          <w:lang w:val="en-GB"/>
        </w:rPr>
        <w:t>is convicted</w:t>
      </w:r>
      <w:r w:rsidR="005B539A" w:rsidRPr="00136D7B">
        <w:rPr>
          <w:rFonts w:ascii="Arial" w:hAnsi="Arial" w:cs="Arial"/>
          <w:lang w:val="en-GB"/>
        </w:rPr>
        <w:t xml:space="preserve"> </w:t>
      </w:r>
      <w:r w:rsidRPr="00136D7B">
        <w:rPr>
          <w:rFonts w:ascii="Arial" w:hAnsi="Arial" w:cs="Arial"/>
          <w:lang w:val="en-GB"/>
        </w:rPr>
        <w:t>and a sentence</w:t>
      </w:r>
      <w:r w:rsidR="005B539A" w:rsidRPr="00136D7B">
        <w:rPr>
          <w:rFonts w:ascii="Arial" w:hAnsi="Arial" w:cs="Arial"/>
          <w:lang w:val="en-GB"/>
        </w:rPr>
        <w:t xml:space="preserve"> </w:t>
      </w:r>
      <w:r w:rsidRPr="00136D7B">
        <w:rPr>
          <w:rFonts w:ascii="Arial" w:hAnsi="Arial" w:cs="Arial"/>
          <w:lang w:val="en-GB"/>
        </w:rPr>
        <w:t>is imposed</w:t>
      </w:r>
      <w:r w:rsidR="005B539A" w:rsidRPr="00136D7B">
        <w:rPr>
          <w:rFonts w:ascii="Arial" w:hAnsi="Arial" w:cs="Arial"/>
          <w:lang w:val="en-GB"/>
        </w:rPr>
        <w:t xml:space="preserve"> </w:t>
      </w:r>
      <w:r w:rsidRPr="00136D7B">
        <w:rPr>
          <w:rFonts w:ascii="Arial" w:hAnsi="Arial" w:cs="Arial"/>
          <w:lang w:val="en-GB"/>
        </w:rPr>
        <w:t>to</w:t>
      </w:r>
      <w:r w:rsidR="005B539A" w:rsidRPr="00136D7B">
        <w:rPr>
          <w:rFonts w:ascii="Arial" w:hAnsi="Arial" w:cs="Arial"/>
          <w:lang w:val="en-GB"/>
        </w:rPr>
        <w:t xml:space="preserve"> </w:t>
      </w:r>
      <w:r w:rsidRPr="00136D7B">
        <w:rPr>
          <w:rFonts w:ascii="Arial" w:hAnsi="Arial" w:cs="Arial"/>
          <w:lang w:val="en-GB"/>
        </w:rPr>
        <w:t>punish the offender.</w:t>
      </w:r>
      <w:r w:rsidR="005B539A" w:rsidRPr="00136D7B">
        <w:rPr>
          <w:rFonts w:ascii="Arial" w:hAnsi="Arial" w:cs="Arial"/>
          <w:lang w:val="en-GB"/>
        </w:rPr>
        <w:t xml:space="preserve"> </w:t>
      </w:r>
      <w:r w:rsidRPr="00136D7B">
        <w:rPr>
          <w:rFonts w:ascii="Arial" w:hAnsi="Arial" w:cs="Arial"/>
          <w:lang w:val="en-GB"/>
        </w:rPr>
        <w:t>In the case of a</w:t>
      </w:r>
      <w:r w:rsidR="005B539A" w:rsidRPr="00136D7B">
        <w:rPr>
          <w:rFonts w:ascii="Arial" w:hAnsi="Arial" w:cs="Arial"/>
          <w:lang w:val="en-GB"/>
        </w:rPr>
        <w:t xml:space="preserve"> </w:t>
      </w:r>
      <w:r w:rsidRPr="00136D7B">
        <w:rPr>
          <w:rFonts w:ascii="Arial" w:hAnsi="Arial" w:cs="Arial"/>
          <w:lang w:val="en-GB"/>
        </w:rPr>
        <w:t>civil action,</w:t>
      </w:r>
      <w:r w:rsidR="005B539A" w:rsidRPr="00136D7B">
        <w:rPr>
          <w:rFonts w:ascii="Arial" w:hAnsi="Arial" w:cs="Arial"/>
          <w:lang w:val="en-GB"/>
        </w:rPr>
        <w:t xml:space="preserve"> </w:t>
      </w:r>
      <w:r w:rsidRPr="00136D7B">
        <w:rPr>
          <w:rFonts w:ascii="Arial" w:hAnsi="Arial" w:cs="Arial"/>
          <w:lang w:val="en-GB"/>
        </w:rPr>
        <w:t>the defendant (Scot. = defender) is sued, and, if the action is successful,</w:t>
      </w:r>
      <w:r w:rsidR="005B539A" w:rsidRPr="00136D7B">
        <w:rPr>
          <w:rFonts w:ascii="Arial" w:hAnsi="Arial" w:cs="Arial"/>
          <w:lang w:val="en-GB"/>
        </w:rPr>
        <w:t xml:space="preserve"> </w:t>
      </w:r>
      <w:r w:rsidRPr="00136D7B">
        <w:rPr>
          <w:rFonts w:ascii="Arial" w:hAnsi="Arial" w:cs="Arial"/>
          <w:lang w:val="en-GB"/>
        </w:rPr>
        <w:t>a</w:t>
      </w:r>
      <w:r w:rsidR="005B539A" w:rsidRPr="00136D7B">
        <w:rPr>
          <w:rFonts w:ascii="Arial" w:hAnsi="Arial" w:cs="Arial"/>
          <w:lang w:val="en-GB"/>
        </w:rPr>
        <w:t xml:space="preserve"> </w:t>
      </w:r>
      <w:r w:rsidRPr="00136D7B">
        <w:rPr>
          <w:rFonts w:ascii="Arial" w:hAnsi="Arial" w:cs="Arial"/>
          <w:lang w:val="en-GB"/>
        </w:rPr>
        <w:t>judgement is given against him which is enforceable through</w:t>
      </w:r>
      <w:r w:rsidR="005B539A" w:rsidRPr="00136D7B">
        <w:rPr>
          <w:rFonts w:ascii="Arial" w:hAnsi="Arial" w:cs="Arial"/>
          <w:lang w:val="en-GB"/>
        </w:rPr>
        <w:t xml:space="preserve"> </w:t>
      </w:r>
      <w:r w:rsidRPr="00136D7B">
        <w:rPr>
          <w:rFonts w:ascii="Arial" w:hAnsi="Arial" w:cs="Arial"/>
          <w:lang w:val="en-GB"/>
        </w:rPr>
        <w:t>the ordinary</w:t>
      </w:r>
      <w:r w:rsidR="005B539A" w:rsidRPr="00136D7B">
        <w:rPr>
          <w:rFonts w:ascii="Arial" w:hAnsi="Arial" w:cs="Arial"/>
          <w:lang w:val="en-GB"/>
        </w:rPr>
        <w:t xml:space="preserve"> </w:t>
      </w:r>
      <w:r w:rsidRPr="00136D7B">
        <w:rPr>
          <w:rFonts w:ascii="Arial" w:hAnsi="Arial" w:cs="Arial"/>
          <w:lang w:val="en-GB"/>
        </w:rPr>
        <w:t>processes</w:t>
      </w:r>
      <w:r w:rsidR="005B539A" w:rsidRPr="00136D7B">
        <w:rPr>
          <w:rFonts w:ascii="Arial" w:hAnsi="Arial" w:cs="Arial"/>
          <w:lang w:val="en-GB"/>
        </w:rPr>
        <w:t xml:space="preserve"> </w:t>
      </w:r>
      <w:r w:rsidRPr="00136D7B">
        <w:rPr>
          <w:rFonts w:ascii="Arial" w:hAnsi="Arial" w:cs="Arial"/>
          <w:lang w:val="en-GB"/>
        </w:rPr>
        <w:t>of</w:t>
      </w:r>
      <w:r w:rsidR="005B539A" w:rsidRPr="00136D7B">
        <w:rPr>
          <w:rFonts w:ascii="Arial" w:hAnsi="Arial" w:cs="Arial"/>
          <w:lang w:val="en-GB"/>
        </w:rPr>
        <w:t xml:space="preserve"> </w:t>
      </w:r>
      <w:r w:rsidRPr="00136D7B">
        <w:rPr>
          <w:rFonts w:ascii="Arial" w:hAnsi="Arial" w:cs="Arial"/>
          <w:lang w:val="en-GB"/>
        </w:rPr>
        <w:t>the civil law.</w:t>
      </w:r>
    </w:p>
    <w:p w14:paraId="1174F9B2" w14:textId="77777777" w:rsidR="00863E20" w:rsidRPr="00136D7B" w:rsidRDefault="00863E20" w:rsidP="005B539A">
      <w:pPr>
        <w:rPr>
          <w:rFonts w:ascii="Arial" w:hAnsi="Arial" w:cs="Arial"/>
          <w:lang w:val="en-GB"/>
        </w:rPr>
      </w:pPr>
      <w:r w:rsidRPr="00136D7B">
        <w:rPr>
          <w:rFonts w:ascii="Arial" w:hAnsi="Arial" w:cs="Arial"/>
          <w:lang w:val="en-GB"/>
        </w:rPr>
        <w:t xml:space="preserve">The distinction between criminal and civil wrongdoing is found in both English and Scots law from an early stage and seems to have existed prior to the availability of historical records. In both jurisdictions court decisions elaborated a common law of crime to which statute law added both in volume and in precision. In recent years in England a Criminal Law Revision Committee has advised the Home Secretary and a series of statutes has initiated a move </w:t>
      </w:r>
      <w:r w:rsidRPr="00136D7B">
        <w:rPr>
          <w:rFonts w:ascii="Arial" w:hAnsi="Arial" w:cs="Arial"/>
          <w:lang w:val="en-GB"/>
        </w:rPr>
        <w:lastRenderedPageBreak/>
        <w:t xml:space="preserve">towards a wholly statutory Criminal Law. </w:t>
      </w:r>
      <w:r w:rsidRPr="00A50D2C">
        <w:rPr>
          <w:rFonts w:ascii="Arial" w:hAnsi="Arial" w:cs="Arial"/>
          <w:lang w:val="en-GB"/>
        </w:rPr>
        <w:t>However, a Scot (whose legal system has not made similar moves</w:t>
      </w:r>
      <w:r w:rsidR="00A50D2C">
        <w:rPr>
          <w:rStyle w:val="Funotenzeichen"/>
          <w:rFonts w:ascii="Arial" w:hAnsi="Arial" w:cs="Arial"/>
        </w:rPr>
        <w:footnoteReference w:id="5"/>
      </w:r>
      <w:r w:rsidRPr="00A50D2C">
        <w:rPr>
          <w:rFonts w:ascii="Arial" w:hAnsi="Arial" w:cs="Arial"/>
          <w:lang w:val="en-GB"/>
        </w:rPr>
        <w:t xml:space="preserve">) may perhaps comment that the English doctrines governing the interpretation of statutes, and the principle that no-one shall be punished except for a breach of known </w:t>
      </w:r>
      <w:r w:rsidR="00A50D2C">
        <w:rPr>
          <w:rFonts w:ascii="Arial" w:hAnsi="Arial" w:cs="Arial"/>
          <w:lang w:val="en-GB"/>
        </w:rPr>
        <w:t>l</w:t>
      </w:r>
      <w:r w:rsidRPr="00A50D2C">
        <w:rPr>
          <w:rFonts w:ascii="Arial" w:hAnsi="Arial" w:cs="Arial"/>
          <w:lang w:val="en-GB"/>
        </w:rPr>
        <w:t xml:space="preserve">aw, has occasionally produced odd results in the application and enforcement of the statutory codes. </w:t>
      </w:r>
      <w:r w:rsidRPr="00136D7B">
        <w:rPr>
          <w:rFonts w:ascii="Arial" w:hAnsi="Arial" w:cs="Arial"/>
          <w:lang w:val="en-GB"/>
        </w:rPr>
        <w:t>The repair of 'defects' in the tapestry of the statutory English criminal law has not always produced a satisfactory result.</w:t>
      </w:r>
    </w:p>
    <w:p w14:paraId="4F9BD2BE" w14:textId="77777777" w:rsidR="00863E20" w:rsidRPr="00136D7B" w:rsidRDefault="00863E20" w:rsidP="005B539A">
      <w:pPr>
        <w:rPr>
          <w:rFonts w:ascii="Arial" w:hAnsi="Arial" w:cs="Arial"/>
          <w:lang w:val="en-GB"/>
        </w:rPr>
      </w:pPr>
      <w:r w:rsidRPr="00136D7B">
        <w:rPr>
          <w:rFonts w:ascii="Arial" w:hAnsi="Arial" w:cs="Arial"/>
          <w:lang w:val="en-GB"/>
        </w:rPr>
        <w:t xml:space="preserve">In Scotland a great deal of the criminal law remains a matter of common law, permitting the courts to adjust to changing requirements and circumstances. </w:t>
      </w:r>
      <w:r w:rsidRPr="00A50D2C">
        <w:rPr>
          <w:rFonts w:ascii="Arial" w:hAnsi="Arial" w:cs="Arial"/>
          <w:lang w:val="en-GB"/>
        </w:rPr>
        <w:t>Statutory crimes exist, but the 'traditional' crime</w:t>
      </w:r>
      <w:r w:rsidR="00A50D2C" w:rsidRPr="00A50D2C">
        <w:rPr>
          <w:rFonts w:ascii="Arial" w:hAnsi="Arial" w:cs="Arial"/>
          <w:lang w:val="en-GB"/>
        </w:rPr>
        <w:t>s remain matters of the common l</w:t>
      </w:r>
      <w:r w:rsidRPr="00A50D2C">
        <w:rPr>
          <w:rFonts w:ascii="Arial" w:hAnsi="Arial" w:cs="Arial"/>
          <w:lang w:val="en-GB"/>
        </w:rPr>
        <w:t xml:space="preserve">aw. </w:t>
      </w:r>
      <w:r w:rsidRPr="00136D7B">
        <w:rPr>
          <w:rFonts w:ascii="Arial" w:hAnsi="Arial" w:cs="Arial"/>
          <w:lang w:val="en-GB"/>
        </w:rPr>
        <w:t xml:space="preserve">In Scottish practice a common law crime with which an offender is charged need not be specified by name. It is sufficient that the charge sets out facts which are both relevant and sufficient to constitute a crime. Analyses of the principles inherent in court decisions, and statements as to the nature and ambit of the criminal law by various institutional writers (i.e. those now recognised as </w:t>
      </w:r>
      <w:r w:rsidR="00C96ED6">
        <w:rPr>
          <w:rFonts w:ascii="Arial" w:hAnsi="Arial" w:cs="Arial"/>
          <w:lang w:val="en-GB"/>
        </w:rPr>
        <w:t>authoritative (see Part I Sec. I</w:t>
      </w:r>
      <w:r w:rsidRPr="00136D7B">
        <w:rPr>
          <w:rFonts w:ascii="Arial" w:hAnsi="Arial" w:cs="Arial"/>
          <w:lang w:val="en-GB"/>
        </w:rPr>
        <w:t xml:space="preserve">.4.3 </w:t>
      </w:r>
      <w:r w:rsidRPr="00136D7B">
        <w:rPr>
          <w:rFonts w:ascii="Arial" w:hAnsi="Arial" w:cs="Arial"/>
          <w:i/>
          <w:lang w:val="en-GB"/>
        </w:rPr>
        <w:t>Law books</w:t>
      </w:r>
      <w:r w:rsidRPr="00136D7B">
        <w:rPr>
          <w:rFonts w:ascii="Arial" w:hAnsi="Arial" w:cs="Arial"/>
          <w:lang w:val="en-GB"/>
        </w:rPr>
        <w:t xml:space="preserve"> and 4 </w:t>
      </w:r>
      <w:r w:rsidRPr="00136D7B">
        <w:rPr>
          <w:rFonts w:ascii="Arial" w:hAnsi="Arial" w:cs="Arial"/>
          <w:i/>
          <w:lang w:val="en-GB"/>
        </w:rPr>
        <w:t>Commentaries</w:t>
      </w:r>
      <w:r w:rsidRPr="00136D7B">
        <w:rPr>
          <w:rFonts w:ascii="Arial" w:hAnsi="Arial" w:cs="Arial"/>
          <w:lang w:val="en-GB"/>
        </w:rPr>
        <w:t xml:space="preserve">) have assisted in the development of the body of Scottish criminal law. In addition the system of Crown prosecutors who decide whether and where to prosecute affects the application of the criminal law in particular cases (see below, Sec. III.5.3 </w:t>
      </w:r>
      <w:r w:rsidRPr="00136D7B">
        <w:rPr>
          <w:rFonts w:ascii="Arial" w:hAnsi="Arial" w:cs="Arial"/>
          <w:i/>
          <w:lang w:val="en-GB"/>
        </w:rPr>
        <w:t>Criminal prosecution</w:t>
      </w:r>
      <w:r w:rsidRPr="00136D7B">
        <w:rPr>
          <w:rFonts w:ascii="Arial" w:hAnsi="Arial" w:cs="Arial"/>
          <w:lang w:val="en-GB"/>
        </w:rPr>
        <w:t xml:space="preserve">). This can have a broader effect also. </w:t>
      </w:r>
      <w:r w:rsidRPr="00A50D2C">
        <w:rPr>
          <w:rFonts w:ascii="Arial" w:hAnsi="Arial" w:cs="Arial"/>
          <w:lang w:val="en-GB"/>
        </w:rPr>
        <w:t>In general if, say, a particular</w:t>
      </w:r>
      <w:r w:rsidR="005B539A" w:rsidRPr="00A50D2C">
        <w:rPr>
          <w:rFonts w:ascii="Arial" w:hAnsi="Arial" w:cs="Arial"/>
          <w:lang w:val="en-GB"/>
        </w:rPr>
        <w:t xml:space="preserve"> </w:t>
      </w:r>
      <w:r w:rsidRPr="00A50D2C">
        <w:rPr>
          <w:rFonts w:ascii="Arial" w:hAnsi="Arial" w:cs="Arial"/>
          <w:lang w:val="en-GB"/>
        </w:rPr>
        <w:t>charge comes to be treated by the prosecutors as obsolete</w:t>
      </w:r>
      <w:r w:rsidR="00A50D2C">
        <w:rPr>
          <w:rStyle w:val="Funotenzeichen"/>
          <w:rFonts w:ascii="Arial" w:hAnsi="Arial" w:cs="Arial"/>
        </w:rPr>
        <w:footnoteReference w:id="6"/>
      </w:r>
      <w:r w:rsidRPr="00A50D2C">
        <w:rPr>
          <w:rFonts w:ascii="Arial" w:hAnsi="Arial" w:cs="Arial"/>
          <w:lang w:val="en-GB"/>
        </w:rPr>
        <w:t xml:space="preserve"> the result is that the law is </w:t>
      </w:r>
      <w:r w:rsidRPr="00A50D2C">
        <w:rPr>
          <w:rFonts w:ascii="Arial" w:hAnsi="Arial" w:cs="Arial"/>
          <w:i/>
          <w:lang w:val="en-GB"/>
        </w:rPr>
        <w:t>de facto</w:t>
      </w:r>
      <w:r w:rsidRPr="00A50D2C">
        <w:rPr>
          <w:rFonts w:ascii="Arial" w:hAnsi="Arial" w:cs="Arial"/>
          <w:lang w:val="en-GB"/>
        </w:rPr>
        <w:t xml:space="preserve"> altered without the need for legislation or contentious discussion. </w:t>
      </w:r>
      <w:r w:rsidRPr="00136D7B">
        <w:rPr>
          <w:rFonts w:ascii="Arial" w:hAnsi="Arial" w:cs="Arial"/>
          <w:lang w:val="en-GB"/>
        </w:rPr>
        <w:t>As England has recently moved to a system of state prosecutors, a similar effect is to be expected there.</w:t>
      </w:r>
    </w:p>
    <w:p w14:paraId="27F09BE4" w14:textId="77777777" w:rsidR="00863E20" w:rsidRPr="00136D7B" w:rsidRDefault="00863E20" w:rsidP="005B539A">
      <w:pPr>
        <w:rPr>
          <w:rFonts w:ascii="Arial" w:hAnsi="Arial" w:cs="Arial"/>
          <w:lang w:val="en-GB"/>
        </w:rPr>
      </w:pPr>
      <w:r w:rsidRPr="00136D7B">
        <w:rPr>
          <w:rFonts w:ascii="Arial" w:hAnsi="Arial" w:cs="Arial"/>
          <w:lang w:val="en-GB"/>
        </w:rPr>
        <w:t>In both countries a system of criminal courts deals with the criminal law. These</w:t>
      </w:r>
      <w:r w:rsidR="005B539A" w:rsidRPr="00136D7B">
        <w:rPr>
          <w:rFonts w:ascii="Arial" w:hAnsi="Arial" w:cs="Arial"/>
          <w:lang w:val="en-GB"/>
        </w:rPr>
        <w:t xml:space="preserve"> </w:t>
      </w:r>
      <w:r w:rsidRPr="00136D7B">
        <w:rPr>
          <w:rFonts w:ascii="Arial" w:hAnsi="Arial" w:cs="Arial"/>
          <w:lang w:val="en-GB"/>
        </w:rPr>
        <w:t xml:space="preserve">structures have been outlined above </w:t>
      </w:r>
      <w:r w:rsidR="00E85B3F">
        <w:rPr>
          <w:rFonts w:ascii="Arial" w:hAnsi="Arial" w:cs="Arial"/>
          <w:lang w:val="en-GB"/>
        </w:rPr>
        <w:t>in Part I Sec. I</w:t>
      </w:r>
      <w:r w:rsidR="00A50D2C" w:rsidRPr="00136D7B">
        <w:rPr>
          <w:rFonts w:ascii="Arial" w:hAnsi="Arial" w:cs="Arial"/>
          <w:lang w:val="en-GB"/>
        </w:rPr>
        <w:t>.2</w:t>
      </w:r>
      <w:r w:rsidRPr="00136D7B">
        <w:rPr>
          <w:rFonts w:ascii="Arial" w:hAnsi="Arial" w:cs="Arial"/>
          <w:lang w:val="en-GB"/>
        </w:rPr>
        <w:t xml:space="preserve">.2.b </w:t>
      </w:r>
      <w:r w:rsidRPr="00136D7B">
        <w:rPr>
          <w:rFonts w:ascii="Arial" w:hAnsi="Arial" w:cs="Arial"/>
          <w:i/>
          <w:lang w:val="en-GB"/>
        </w:rPr>
        <w:t>Criminal jurisdiction</w:t>
      </w:r>
      <w:r w:rsidRPr="00136D7B">
        <w:rPr>
          <w:rFonts w:ascii="Arial" w:hAnsi="Arial" w:cs="Arial"/>
          <w:lang w:val="en-GB"/>
        </w:rPr>
        <w:t>.</w:t>
      </w:r>
    </w:p>
    <w:p w14:paraId="54993DA3" w14:textId="77777777" w:rsidR="00863E20" w:rsidRPr="00136D7B" w:rsidRDefault="00863E20" w:rsidP="005B539A">
      <w:pPr>
        <w:rPr>
          <w:rFonts w:ascii="Arial" w:hAnsi="Arial" w:cs="Arial"/>
          <w:lang w:val="en-GB"/>
        </w:rPr>
      </w:pPr>
    </w:p>
    <w:p w14:paraId="15DE7ED1" w14:textId="77777777" w:rsidR="00863E20" w:rsidRPr="00136D7B" w:rsidRDefault="00863E20" w:rsidP="005B539A">
      <w:pPr>
        <w:rPr>
          <w:rFonts w:ascii="Arial" w:hAnsi="Arial" w:cs="Arial"/>
          <w:lang w:val="en-GB"/>
        </w:rPr>
      </w:pPr>
    </w:p>
    <w:p w14:paraId="13B3E149" w14:textId="77777777" w:rsidR="00863E20" w:rsidRPr="00C96ED6" w:rsidRDefault="00863E20" w:rsidP="005B539A">
      <w:pPr>
        <w:rPr>
          <w:rFonts w:ascii="Arial" w:hAnsi="Arial" w:cs="Arial"/>
          <w:b/>
          <w:lang w:val="en-GB"/>
        </w:rPr>
      </w:pPr>
      <w:r w:rsidRPr="00C96ED6">
        <w:rPr>
          <w:rFonts w:ascii="Arial" w:hAnsi="Arial" w:cs="Arial"/>
          <w:b/>
          <w:lang w:val="en-GB"/>
        </w:rPr>
        <w:t>Quelle:</w:t>
      </w:r>
    </w:p>
    <w:p w14:paraId="76D65A53" w14:textId="77777777" w:rsidR="00E054A7" w:rsidRDefault="00863E20" w:rsidP="005B539A">
      <w:pPr>
        <w:rPr>
          <w:rFonts w:ascii="Arial" w:hAnsi="Arial" w:cs="Arial"/>
        </w:rPr>
      </w:pPr>
      <w:r w:rsidRPr="00136D7B">
        <w:rPr>
          <w:rFonts w:ascii="Arial" w:hAnsi="Arial" w:cs="Arial"/>
          <w:lang w:val="en-GB"/>
        </w:rPr>
        <w:t xml:space="preserve">Lyall, Francis (2002), An Introduction to British Law, 2. </w:t>
      </w:r>
      <w:r w:rsidRPr="005B539A">
        <w:rPr>
          <w:rFonts w:ascii="Arial" w:hAnsi="Arial" w:cs="Arial"/>
        </w:rPr>
        <w:t>Auflage, Baden-Baden: Nomos</w:t>
      </w:r>
    </w:p>
    <w:p w14:paraId="185413D2" w14:textId="77777777" w:rsidR="004B564D" w:rsidRDefault="004B564D" w:rsidP="005B539A">
      <w:pPr>
        <w:rPr>
          <w:rFonts w:ascii="Arial" w:hAnsi="Arial" w:cs="Arial"/>
        </w:rPr>
      </w:pPr>
    </w:p>
    <w:p w14:paraId="6C8927E4" w14:textId="77777777" w:rsidR="004B564D" w:rsidRPr="005B539A" w:rsidRDefault="004B564D" w:rsidP="005B539A">
      <w:pPr>
        <w:rPr>
          <w:rFonts w:ascii="Arial" w:hAnsi="Arial" w:cs="Arial"/>
        </w:rPr>
      </w:pPr>
    </w:p>
    <w:sectPr w:rsidR="004B564D" w:rsidRPr="005B539A">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9662B" w14:textId="77777777" w:rsidR="007260AE" w:rsidRDefault="007260AE" w:rsidP="005B539A">
      <w:pPr>
        <w:spacing w:after="0" w:line="240" w:lineRule="auto"/>
      </w:pPr>
      <w:r>
        <w:separator/>
      </w:r>
    </w:p>
  </w:endnote>
  <w:endnote w:type="continuationSeparator" w:id="0">
    <w:p w14:paraId="049FA1E3" w14:textId="77777777" w:rsidR="007260AE" w:rsidRDefault="007260AE" w:rsidP="005B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466546"/>
      <w:docPartObj>
        <w:docPartGallery w:val="Page Numbers (Bottom of Page)"/>
        <w:docPartUnique/>
      </w:docPartObj>
    </w:sdtPr>
    <w:sdtContent>
      <w:p w14:paraId="15BC1C73" w14:textId="77777777" w:rsidR="005B539A" w:rsidRDefault="005B539A" w:rsidP="005B539A">
        <w:pPr>
          <w:pStyle w:val="Fuzeile"/>
          <w:jc w:val="center"/>
        </w:pPr>
        <w:r>
          <w:fldChar w:fldCharType="begin"/>
        </w:r>
        <w:r>
          <w:instrText>PAGE   \* MERGEFORMAT</w:instrText>
        </w:r>
        <w:r>
          <w:fldChar w:fldCharType="separate"/>
        </w:r>
        <w:r w:rsidR="00A16C44">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6C03D" w14:textId="77777777" w:rsidR="007260AE" w:rsidRDefault="007260AE" w:rsidP="005B539A">
      <w:pPr>
        <w:spacing w:after="0" w:line="240" w:lineRule="auto"/>
      </w:pPr>
      <w:r>
        <w:separator/>
      </w:r>
    </w:p>
  </w:footnote>
  <w:footnote w:type="continuationSeparator" w:id="0">
    <w:p w14:paraId="42ED87C8" w14:textId="77777777" w:rsidR="007260AE" w:rsidRDefault="007260AE" w:rsidP="005B539A">
      <w:pPr>
        <w:spacing w:after="0" w:line="240" w:lineRule="auto"/>
      </w:pPr>
      <w:r>
        <w:continuationSeparator/>
      </w:r>
    </w:p>
  </w:footnote>
  <w:footnote w:id="1">
    <w:p w14:paraId="74A09791" w14:textId="77777777" w:rsidR="00E81C56" w:rsidRPr="00A50D2C" w:rsidRDefault="00E81C56">
      <w:pPr>
        <w:pStyle w:val="Funotentext"/>
        <w:rPr>
          <w:rFonts w:ascii="Arial" w:hAnsi="Arial" w:cs="Arial"/>
          <w:sz w:val="16"/>
          <w:szCs w:val="16"/>
          <w:lang w:val="en-GB"/>
        </w:rPr>
      </w:pPr>
      <w:r>
        <w:rPr>
          <w:rStyle w:val="Funotenzeichen"/>
        </w:rPr>
        <w:footnoteRef/>
      </w:r>
      <w:r w:rsidRPr="00A50D2C">
        <w:rPr>
          <w:rFonts w:ascii="Arial" w:hAnsi="Arial" w:cs="Arial"/>
          <w:sz w:val="16"/>
          <w:szCs w:val="16"/>
          <w:lang w:val="en-GB"/>
        </w:rPr>
        <w:t xml:space="preserve"> </w:t>
      </w:r>
      <w:r w:rsidR="00A50D2C" w:rsidRPr="00A50D2C">
        <w:rPr>
          <w:rFonts w:ascii="Arial" w:hAnsi="Arial" w:cs="Arial"/>
          <w:sz w:val="16"/>
          <w:szCs w:val="16"/>
          <w:lang w:val="en-GB"/>
        </w:rPr>
        <w:t xml:space="preserve">In British law it is possible for an injurious act to affect another with his consent, but not affect the community at large, and yet the act may be dealt with as a crime. Thus in </w:t>
      </w:r>
      <w:r w:rsidR="00A50D2C" w:rsidRPr="007D48A9">
        <w:rPr>
          <w:rFonts w:ascii="Arial" w:hAnsi="Arial" w:cs="Arial"/>
          <w:i/>
          <w:sz w:val="16"/>
          <w:szCs w:val="16"/>
          <w:lang w:val="en-GB"/>
        </w:rPr>
        <w:t>R v Brown</w:t>
      </w:r>
      <w:r w:rsidR="00A50D2C" w:rsidRPr="00A50D2C">
        <w:rPr>
          <w:rFonts w:ascii="Arial" w:hAnsi="Arial" w:cs="Arial"/>
          <w:sz w:val="16"/>
          <w:szCs w:val="16"/>
          <w:lang w:val="en-GB"/>
        </w:rPr>
        <w:t>, [1993] 2 All ER 75, convictions for assault were upheld against individuals engaging in private in sadomasochistic practices, each individually being there willingly, and freely consenting to what was done to him.</w:t>
      </w:r>
    </w:p>
  </w:footnote>
  <w:footnote w:id="2">
    <w:p w14:paraId="4FE37908" w14:textId="77777777" w:rsidR="00E81C56" w:rsidRPr="004B564D" w:rsidRDefault="00E81C56" w:rsidP="00F112DD">
      <w:pPr>
        <w:spacing w:after="0" w:line="240" w:lineRule="auto"/>
        <w:rPr>
          <w:rFonts w:ascii="Arial" w:hAnsi="Arial" w:cs="Arial"/>
          <w:sz w:val="16"/>
          <w:szCs w:val="16"/>
          <w:lang w:val="en-GB"/>
        </w:rPr>
      </w:pPr>
      <w:r>
        <w:rPr>
          <w:rStyle w:val="Funotenzeichen"/>
        </w:rPr>
        <w:footnoteRef/>
      </w:r>
      <w:r w:rsidR="00A50D2C" w:rsidRPr="00A50D2C">
        <w:rPr>
          <w:rFonts w:ascii="Arial" w:hAnsi="Arial" w:cs="Arial"/>
          <w:sz w:val="16"/>
          <w:szCs w:val="16"/>
          <w:lang w:val="en-GB"/>
        </w:rPr>
        <w:t xml:space="preserve"> Punishment is not integral to the definition in that a crime is a crime whether or not the criminal is dealt with.</w:t>
      </w:r>
    </w:p>
  </w:footnote>
  <w:footnote w:id="3">
    <w:p w14:paraId="64A6FC59" w14:textId="77777777" w:rsidR="00E81C56" w:rsidRPr="004B564D" w:rsidRDefault="00E81C56">
      <w:pPr>
        <w:pStyle w:val="Funotentext"/>
        <w:rPr>
          <w:rFonts w:ascii="Arial" w:hAnsi="Arial" w:cs="Arial"/>
          <w:sz w:val="16"/>
          <w:szCs w:val="16"/>
          <w:lang w:val="en-GB"/>
        </w:rPr>
      </w:pPr>
      <w:r>
        <w:rPr>
          <w:rStyle w:val="Funotenzeichen"/>
        </w:rPr>
        <w:footnoteRef/>
      </w:r>
      <w:r w:rsidR="004B564D" w:rsidRPr="004B564D">
        <w:rPr>
          <w:rFonts w:ascii="Arial" w:hAnsi="Arial" w:cs="Arial"/>
          <w:sz w:val="16"/>
          <w:szCs w:val="16"/>
          <w:lang w:val="en-GB"/>
        </w:rPr>
        <w:t xml:space="preserve"> See below, n. 27.</w:t>
      </w:r>
    </w:p>
  </w:footnote>
  <w:footnote w:id="4">
    <w:p w14:paraId="752BD75E" w14:textId="77777777" w:rsidR="00E81C56" w:rsidRPr="004B564D" w:rsidRDefault="00E81C56">
      <w:pPr>
        <w:pStyle w:val="Funotentext"/>
        <w:rPr>
          <w:rFonts w:ascii="Arial" w:hAnsi="Arial" w:cs="Arial"/>
          <w:sz w:val="16"/>
          <w:szCs w:val="16"/>
          <w:lang w:val="en-GB"/>
        </w:rPr>
      </w:pPr>
      <w:r>
        <w:rPr>
          <w:rStyle w:val="Funotenzeichen"/>
        </w:rPr>
        <w:footnoteRef/>
      </w:r>
      <w:r w:rsidR="004B564D" w:rsidRPr="004B564D">
        <w:rPr>
          <w:rFonts w:ascii="Arial" w:hAnsi="Arial" w:cs="Arial"/>
          <w:sz w:val="16"/>
          <w:szCs w:val="16"/>
          <w:lang w:val="en-GB"/>
        </w:rPr>
        <w:t xml:space="preserve"> I omit the breach of a procedure. In some circumstances breach of a procedure can be a serious criminal offence (e.g. a failure to comply with licensing requirements in environmental matters).</w:t>
      </w:r>
    </w:p>
  </w:footnote>
  <w:footnote w:id="5">
    <w:p w14:paraId="2DF226B6" w14:textId="77777777" w:rsidR="00A50D2C" w:rsidRPr="004B564D" w:rsidRDefault="00A50D2C">
      <w:pPr>
        <w:pStyle w:val="Funotentext"/>
        <w:rPr>
          <w:rFonts w:ascii="Arial" w:hAnsi="Arial" w:cs="Arial"/>
          <w:sz w:val="16"/>
          <w:szCs w:val="16"/>
          <w:lang w:val="en-GB"/>
        </w:rPr>
      </w:pPr>
      <w:r>
        <w:rPr>
          <w:rStyle w:val="Funotenzeichen"/>
        </w:rPr>
        <w:footnoteRef/>
      </w:r>
      <w:r w:rsidR="004B564D" w:rsidRPr="004B564D">
        <w:rPr>
          <w:rFonts w:ascii="Arial" w:hAnsi="Arial" w:cs="Arial"/>
          <w:sz w:val="16"/>
          <w:szCs w:val="16"/>
          <w:lang w:val="en-GB"/>
        </w:rPr>
        <w:t xml:space="preserve"> Immediately after the first edition of this book my comment was partially invalidated by the passing of the Criminal Law (Consolidation) Act 1995 and the Criminal Procedure (Scotland) Act 1995. Nonetheless, in broad terms it remains true.</w:t>
      </w:r>
    </w:p>
  </w:footnote>
  <w:footnote w:id="6">
    <w:p w14:paraId="3DC3EDCF" w14:textId="77777777" w:rsidR="00A50D2C" w:rsidRPr="004B564D" w:rsidRDefault="00A50D2C" w:rsidP="00F112DD">
      <w:pPr>
        <w:spacing w:after="0" w:line="240" w:lineRule="auto"/>
        <w:rPr>
          <w:rFonts w:ascii="Arial" w:hAnsi="Arial" w:cs="Arial"/>
          <w:sz w:val="16"/>
          <w:szCs w:val="16"/>
          <w:lang w:val="en-GB"/>
        </w:rPr>
      </w:pPr>
      <w:r>
        <w:rPr>
          <w:rStyle w:val="Funotenzeichen"/>
        </w:rPr>
        <w:footnoteRef/>
      </w:r>
      <w:r w:rsidR="004B564D" w:rsidRPr="004B564D">
        <w:rPr>
          <w:rFonts w:ascii="Arial" w:hAnsi="Arial" w:cs="Arial"/>
          <w:sz w:val="16"/>
          <w:szCs w:val="16"/>
          <w:lang w:val="en-GB"/>
        </w:rPr>
        <w:t xml:space="preserve"> For example a charge of blasphemy is unlikely to be brought in Scotland although theoretically it is an offence at common law. It remains triable in England: </w:t>
      </w:r>
      <w:r w:rsidR="004B564D" w:rsidRPr="007D48A9">
        <w:rPr>
          <w:rFonts w:ascii="Arial" w:hAnsi="Arial" w:cs="Arial"/>
          <w:i/>
          <w:sz w:val="16"/>
          <w:szCs w:val="16"/>
          <w:lang w:val="en-GB"/>
        </w:rPr>
        <w:t>R v Gay News</w:t>
      </w:r>
      <w:r w:rsidR="004B564D" w:rsidRPr="004B564D">
        <w:rPr>
          <w:rFonts w:ascii="Arial" w:hAnsi="Arial" w:cs="Arial"/>
          <w:sz w:val="16"/>
          <w:szCs w:val="16"/>
          <w:lang w:val="en-GB"/>
        </w:rPr>
        <w:t xml:space="preserve">; </w:t>
      </w:r>
      <w:r w:rsidR="004B564D" w:rsidRPr="00F112DD">
        <w:rPr>
          <w:rFonts w:ascii="Arial" w:hAnsi="Arial" w:cs="Arial"/>
          <w:i/>
          <w:sz w:val="16"/>
          <w:szCs w:val="16"/>
          <w:lang w:val="en-GB"/>
        </w:rPr>
        <w:t>R v Lemon</w:t>
      </w:r>
      <w:r w:rsidR="004B564D" w:rsidRPr="004B564D">
        <w:rPr>
          <w:rFonts w:ascii="Arial" w:hAnsi="Arial" w:cs="Arial"/>
          <w:sz w:val="16"/>
          <w:szCs w:val="16"/>
          <w:lang w:val="en-GB"/>
        </w:rPr>
        <w:t>, [1979] AC 617, 68 Cr App Rep 381 (HL).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16EB"/>
    <w:multiLevelType w:val="hybridMultilevel"/>
    <w:tmpl w:val="B916FA9A"/>
    <w:lvl w:ilvl="0" w:tplc="B212122C">
      <w:start w:val="4"/>
      <w:numFmt w:val="decimal"/>
      <w:lvlText w:val="%1"/>
      <w:lvlJc w:val="left"/>
      <w:pPr>
        <w:ind w:left="387" w:hanging="268"/>
      </w:pPr>
      <w:rPr>
        <w:rFonts w:hint="default"/>
        <w:w w:val="102"/>
        <w:position w:val="5"/>
      </w:rPr>
    </w:lvl>
    <w:lvl w:ilvl="1" w:tplc="97D2FEE0">
      <w:numFmt w:val="bullet"/>
      <w:lvlText w:val="•"/>
      <w:lvlJc w:val="left"/>
      <w:pPr>
        <w:ind w:left="1027" w:hanging="268"/>
      </w:pPr>
      <w:rPr>
        <w:rFonts w:hint="default"/>
      </w:rPr>
    </w:lvl>
    <w:lvl w:ilvl="2" w:tplc="7ACEAAE4">
      <w:numFmt w:val="bullet"/>
      <w:lvlText w:val="•"/>
      <w:lvlJc w:val="left"/>
      <w:pPr>
        <w:ind w:left="1674" w:hanging="268"/>
      </w:pPr>
      <w:rPr>
        <w:rFonts w:hint="default"/>
      </w:rPr>
    </w:lvl>
    <w:lvl w:ilvl="3" w:tplc="8CD8E566">
      <w:numFmt w:val="bullet"/>
      <w:lvlText w:val="•"/>
      <w:lvlJc w:val="left"/>
      <w:pPr>
        <w:ind w:left="2321" w:hanging="268"/>
      </w:pPr>
      <w:rPr>
        <w:rFonts w:hint="default"/>
      </w:rPr>
    </w:lvl>
    <w:lvl w:ilvl="4" w:tplc="133662CA">
      <w:numFmt w:val="bullet"/>
      <w:lvlText w:val="•"/>
      <w:lvlJc w:val="left"/>
      <w:pPr>
        <w:ind w:left="2969" w:hanging="268"/>
      </w:pPr>
      <w:rPr>
        <w:rFonts w:hint="default"/>
      </w:rPr>
    </w:lvl>
    <w:lvl w:ilvl="5" w:tplc="668EDFAA">
      <w:numFmt w:val="bullet"/>
      <w:lvlText w:val="•"/>
      <w:lvlJc w:val="left"/>
      <w:pPr>
        <w:ind w:left="3616" w:hanging="268"/>
      </w:pPr>
      <w:rPr>
        <w:rFonts w:hint="default"/>
      </w:rPr>
    </w:lvl>
    <w:lvl w:ilvl="6" w:tplc="0E90E642">
      <w:numFmt w:val="bullet"/>
      <w:lvlText w:val="•"/>
      <w:lvlJc w:val="left"/>
      <w:pPr>
        <w:ind w:left="4263" w:hanging="268"/>
      </w:pPr>
      <w:rPr>
        <w:rFonts w:hint="default"/>
      </w:rPr>
    </w:lvl>
    <w:lvl w:ilvl="7" w:tplc="249CE59A">
      <w:numFmt w:val="bullet"/>
      <w:lvlText w:val="•"/>
      <w:lvlJc w:val="left"/>
      <w:pPr>
        <w:ind w:left="4911" w:hanging="268"/>
      </w:pPr>
      <w:rPr>
        <w:rFonts w:hint="default"/>
      </w:rPr>
    </w:lvl>
    <w:lvl w:ilvl="8" w:tplc="F1ECA2C8">
      <w:numFmt w:val="bullet"/>
      <w:lvlText w:val="•"/>
      <w:lvlJc w:val="left"/>
      <w:pPr>
        <w:ind w:left="5558" w:hanging="268"/>
      </w:pPr>
      <w:rPr>
        <w:rFonts w:hint="default"/>
      </w:rPr>
    </w:lvl>
  </w:abstractNum>
  <w:abstractNum w:abstractNumId="1" w15:restartNumberingAfterBreak="0">
    <w:nsid w:val="71DE19BA"/>
    <w:multiLevelType w:val="hybridMultilevel"/>
    <w:tmpl w:val="B916FA9A"/>
    <w:lvl w:ilvl="0" w:tplc="B212122C">
      <w:start w:val="4"/>
      <w:numFmt w:val="decimal"/>
      <w:lvlText w:val="%1"/>
      <w:lvlJc w:val="left"/>
      <w:pPr>
        <w:ind w:left="387" w:hanging="268"/>
      </w:pPr>
      <w:rPr>
        <w:rFonts w:hint="default"/>
        <w:w w:val="102"/>
        <w:position w:val="5"/>
      </w:rPr>
    </w:lvl>
    <w:lvl w:ilvl="1" w:tplc="97D2FEE0">
      <w:numFmt w:val="bullet"/>
      <w:lvlText w:val="•"/>
      <w:lvlJc w:val="left"/>
      <w:pPr>
        <w:ind w:left="1027" w:hanging="268"/>
      </w:pPr>
      <w:rPr>
        <w:rFonts w:hint="default"/>
      </w:rPr>
    </w:lvl>
    <w:lvl w:ilvl="2" w:tplc="7ACEAAE4">
      <w:numFmt w:val="bullet"/>
      <w:lvlText w:val="•"/>
      <w:lvlJc w:val="left"/>
      <w:pPr>
        <w:ind w:left="1674" w:hanging="268"/>
      </w:pPr>
      <w:rPr>
        <w:rFonts w:hint="default"/>
      </w:rPr>
    </w:lvl>
    <w:lvl w:ilvl="3" w:tplc="8CD8E566">
      <w:numFmt w:val="bullet"/>
      <w:lvlText w:val="•"/>
      <w:lvlJc w:val="left"/>
      <w:pPr>
        <w:ind w:left="2321" w:hanging="268"/>
      </w:pPr>
      <w:rPr>
        <w:rFonts w:hint="default"/>
      </w:rPr>
    </w:lvl>
    <w:lvl w:ilvl="4" w:tplc="133662CA">
      <w:numFmt w:val="bullet"/>
      <w:lvlText w:val="•"/>
      <w:lvlJc w:val="left"/>
      <w:pPr>
        <w:ind w:left="2969" w:hanging="268"/>
      </w:pPr>
      <w:rPr>
        <w:rFonts w:hint="default"/>
      </w:rPr>
    </w:lvl>
    <w:lvl w:ilvl="5" w:tplc="668EDFAA">
      <w:numFmt w:val="bullet"/>
      <w:lvlText w:val="•"/>
      <w:lvlJc w:val="left"/>
      <w:pPr>
        <w:ind w:left="3616" w:hanging="268"/>
      </w:pPr>
      <w:rPr>
        <w:rFonts w:hint="default"/>
      </w:rPr>
    </w:lvl>
    <w:lvl w:ilvl="6" w:tplc="0E90E642">
      <w:numFmt w:val="bullet"/>
      <w:lvlText w:val="•"/>
      <w:lvlJc w:val="left"/>
      <w:pPr>
        <w:ind w:left="4263" w:hanging="268"/>
      </w:pPr>
      <w:rPr>
        <w:rFonts w:hint="default"/>
      </w:rPr>
    </w:lvl>
    <w:lvl w:ilvl="7" w:tplc="249CE59A">
      <w:numFmt w:val="bullet"/>
      <w:lvlText w:val="•"/>
      <w:lvlJc w:val="left"/>
      <w:pPr>
        <w:ind w:left="4911" w:hanging="268"/>
      </w:pPr>
      <w:rPr>
        <w:rFonts w:hint="default"/>
      </w:rPr>
    </w:lvl>
    <w:lvl w:ilvl="8" w:tplc="F1ECA2C8">
      <w:numFmt w:val="bullet"/>
      <w:lvlText w:val="•"/>
      <w:lvlJc w:val="left"/>
      <w:pPr>
        <w:ind w:left="5558" w:hanging="268"/>
      </w:pPr>
      <w:rPr>
        <w:rFonts w:hint="default"/>
      </w:rPr>
    </w:lvl>
  </w:abstractNum>
  <w:num w:numId="1" w16cid:durableId="1067649243">
    <w:abstractNumId w:val="0"/>
  </w:num>
  <w:num w:numId="2" w16cid:durableId="1961371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E20"/>
    <w:rsid w:val="00136D7B"/>
    <w:rsid w:val="003D509A"/>
    <w:rsid w:val="004B564D"/>
    <w:rsid w:val="00563389"/>
    <w:rsid w:val="005B539A"/>
    <w:rsid w:val="007260AE"/>
    <w:rsid w:val="007D48A9"/>
    <w:rsid w:val="00863E20"/>
    <w:rsid w:val="00A16C44"/>
    <w:rsid w:val="00A50D2C"/>
    <w:rsid w:val="00A73E03"/>
    <w:rsid w:val="00C96ED6"/>
    <w:rsid w:val="00E054A7"/>
    <w:rsid w:val="00E81C56"/>
    <w:rsid w:val="00E85B3F"/>
    <w:rsid w:val="00EE2D31"/>
    <w:rsid w:val="00F112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A8FB"/>
  <w15:chartTrackingRefBased/>
  <w15:docId w15:val="{7F8E218F-2494-4686-B072-3D0E8AEF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1"/>
    <w:qFormat/>
    <w:rsid w:val="00863E20"/>
    <w:pPr>
      <w:widowControl w:val="0"/>
      <w:autoSpaceDE w:val="0"/>
      <w:autoSpaceDN w:val="0"/>
      <w:spacing w:after="0" w:line="240" w:lineRule="auto"/>
      <w:ind w:left="184"/>
      <w:outlineLvl w:val="0"/>
    </w:pPr>
    <w:rPr>
      <w:rFonts w:ascii="Palatino Linotype" w:eastAsia="Palatino Linotype" w:hAnsi="Palatino Linotype" w:cs="Palatino Linotype"/>
      <w:b/>
      <w:bCs/>
      <w:sz w:val="24"/>
      <w:szCs w:val="24"/>
      <w:lang w:val="en-US"/>
    </w:rPr>
  </w:style>
  <w:style w:type="paragraph" w:styleId="berschrift2">
    <w:name w:val="heading 2"/>
    <w:basedOn w:val="Standard"/>
    <w:link w:val="berschrift2Zchn"/>
    <w:uiPriority w:val="1"/>
    <w:qFormat/>
    <w:rsid w:val="00863E20"/>
    <w:pPr>
      <w:widowControl w:val="0"/>
      <w:autoSpaceDE w:val="0"/>
      <w:autoSpaceDN w:val="0"/>
      <w:spacing w:before="10" w:after="0" w:line="240" w:lineRule="auto"/>
      <w:ind w:left="184" w:right="555"/>
      <w:outlineLvl w:val="1"/>
    </w:pPr>
    <w:rPr>
      <w:rFonts w:ascii="Palatino Linotype" w:eastAsia="Palatino Linotype" w:hAnsi="Palatino Linotype" w:cs="Palatino Linotype"/>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1"/>
    <w:qFormat/>
    <w:rsid w:val="00863E20"/>
    <w:pPr>
      <w:widowControl w:val="0"/>
      <w:autoSpaceDE w:val="0"/>
      <w:autoSpaceDN w:val="0"/>
      <w:spacing w:after="0" w:line="240" w:lineRule="auto"/>
    </w:pPr>
    <w:rPr>
      <w:rFonts w:ascii="Times New Roman" w:eastAsia="Times New Roman" w:hAnsi="Times New Roman" w:cs="Times New Roman"/>
      <w:sz w:val="18"/>
      <w:szCs w:val="18"/>
      <w:lang w:val="en-US"/>
    </w:rPr>
  </w:style>
  <w:style w:type="character" w:customStyle="1" w:styleId="TextkrperZchn">
    <w:name w:val="Textkörper Zchn"/>
    <w:basedOn w:val="Absatz-Standardschriftart"/>
    <w:link w:val="Textkrper"/>
    <w:uiPriority w:val="1"/>
    <w:rsid w:val="00863E20"/>
    <w:rPr>
      <w:rFonts w:ascii="Times New Roman" w:eastAsia="Times New Roman" w:hAnsi="Times New Roman" w:cs="Times New Roman"/>
      <w:sz w:val="18"/>
      <w:szCs w:val="18"/>
      <w:lang w:val="en-US"/>
    </w:rPr>
  </w:style>
  <w:style w:type="character" w:customStyle="1" w:styleId="berschrift1Zchn">
    <w:name w:val="Überschrift 1 Zchn"/>
    <w:basedOn w:val="Absatz-Standardschriftart"/>
    <w:link w:val="berschrift1"/>
    <w:uiPriority w:val="1"/>
    <w:rsid w:val="00863E20"/>
    <w:rPr>
      <w:rFonts w:ascii="Palatino Linotype" w:eastAsia="Palatino Linotype" w:hAnsi="Palatino Linotype" w:cs="Palatino Linotype"/>
      <w:b/>
      <w:bCs/>
      <w:sz w:val="24"/>
      <w:szCs w:val="24"/>
      <w:lang w:val="en-US"/>
    </w:rPr>
  </w:style>
  <w:style w:type="character" w:customStyle="1" w:styleId="berschrift2Zchn">
    <w:name w:val="Überschrift 2 Zchn"/>
    <w:basedOn w:val="Absatz-Standardschriftart"/>
    <w:link w:val="berschrift2"/>
    <w:uiPriority w:val="1"/>
    <w:rsid w:val="00863E20"/>
    <w:rPr>
      <w:rFonts w:ascii="Palatino Linotype" w:eastAsia="Palatino Linotype" w:hAnsi="Palatino Linotype" w:cs="Palatino Linotype"/>
      <w:sz w:val="24"/>
      <w:szCs w:val="24"/>
      <w:lang w:val="en-US"/>
    </w:rPr>
  </w:style>
  <w:style w:type="paragraph" w:styleId="Listenabsatz">
    <w:name w:val="List Paragraph"/>
    <w:basedOn w:val="Standard"/>
    <w:uiPriority w:val="1"/>
    <w:qFormat/>
    <w:rsid w:val="00863E20"/>
    <w:pPr>
      <w:widowControl w:val="0"/>
      <w:autoSpaceDE w:val="0"/>
      <w:autoSpaceDN w:val="0"/>
      <w:spacing w:after="0" w:line="240" w:lineRule="auto"/>
      <w:ind w:left="387" w:right="78" w:hanging="270"/>
      <w:jc w:val="both"/>
    </w:pPr>
    <w:rPr>
      <w:rFonts w:ascii="Times New Roman" w:eastAsia="Times New Roman" w:hAnsi="Times New Roman" w:cs="Times New Roman"/>
      <w:lang w:val="en-US"/>
    </w:rPr>
  </w:style>
  <w:style w:type="paragraph" w:styleId="Kopfzeile">
    <w:name w:val="header"/>
    <w:basedOn w:val="Standard"/>
    <w:link w:val="KopfzeileZchn"/>
    <w:uiPriority w:val="99"/>
    <w:unhideWhenUsed/>
    <w:rsid w:val="005B53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539A"/>
  </w:style>
  <w:style w:type="paragraph" w:styleId="Fuzeile">
    <w:name w:val="footer"/>
    <w:basedOn w:val="Standard"/>
    <w:link w:val="FuzeileZchn"/>
    <w:uiPriority w:val="99"/>
    <w:unhideWhenUsed/>
    <w:rsid w:val="005B53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539A"/>
  </w:style>
  <w:style w:type="paragraph" w:styleId="Funotentext">
    <w:name w:val="footnote text"/>
    <w:basedOn w:val="Standard"/>
    <w:link w:val="FunotentextZchn"/>
    <w:uiPriority w:val="99"/>
    <w:semiHidden/>
    <w:unhideWhenUsed/>
    <w:rsid w:val="00E81C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81C56"/>
    <w:rPr>
      <w:sz w:val="20"/>
      <w:szCs w:val="20"/>
    </w:rPr>
  </w:style>
  <w:style w:type="character" w:styleId="Funotenzeichen">
    <w:name w:val="footnote reference"/>
    <w:basedOn w:val="Absatz-Standardschriftart"/>
    <w:uiPriority w:val="99"/>
    <w:semiHidden/>
    <w:unhideWhenUsed/>
    <w:rsid w:val="00E81C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849BE-CCDF-4F21-B659-458A9BC29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764</Words>
  <Characters>4358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CIT</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 Eleonore Castro-Lesching (wcastro1)</dc:creator>
  <cp:keywords/>
  <dc:description/>
  <cp:lastModifiedBy>Janica Hackenbuchner (jhackenb)</cp:lastModifiedBy>
  <cp:revision>2</cp:revision>
  <dcterms:created xsi:type="dcterms:W3CDTF">2022-10-25T09:19:00Z</dcterms:created>
  <dcterms:modified xsi:type="dcterms:W3CDTF">2022-10-25T09:19:00Z</dcterms:modified>
</cp:coreProperties>
</file>