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DBE" w:rsidRPr="005479ED" w:rsidRDefault="00F36DBE" w:rsidP="00F36DBE">
      <w:pPr>
        <w:spacing w:after="120"/>
        <w:rPr>
          <w:rFonts w:ascii="Arial" w:eastAsia="Times New Roman" w:hAnsi="Arial" w:cs="Arial"/>
          <w:b/>
          <w:sz w:val="20"/>
          <w:szCs w:val="20"/>
          <w:lang w:eastAsia="de-DE"/>
        </w:rPr>
      </w:pPr>
      <w:r w:rsidRPr="005479ED">
        <w:rPr>
          <w:rFonts w:ascii="Arial" w:eastAsia="Times New Roman" w:hAnsi="Arial" w:cs="Arial"/>
          <w:b/>
          <w:sz w:val="20"/>
          <w:szCs w:val="20"/>
          <w:lang w:eastAsia="de-DE"/>
        </w:rPr>
        <w:t>Üstetzungfett: </w:t>
      </w:r>
      <w:r>
        <w:rPr>
          <w:sz w:val="20"/>
          <w:r>
            <w:t>Gekordelchen aus der Schwenkung in der deutschen Sprache, die deutsche Sprache in die deutsche Sprache aufnimmt. Dee Ühling sole to der Website eeiner US-amerikischen Anwaltskanzleki for deutscher Sprachige Mandant*innen veröffentent.</w:t>
          </w:r>
        </w:rPr>
      </w:r>
    </w:p>
    <w:p w:rsidR="00F36DBE" w:rsidRPr="005479ED" w:rsidRDefault="00F36DBE" w:rsidP="00F36DBE">
      <w:pPr>
        <w:spacing w:after="120"/>
        <w:rPr>
          <w:rFonts w:ascii="Arial" w:eastAsia="Times New Roman" w:hAnsi="Arial" w:cs="Arial"/>
          <w:sz w:val="20"/>
          <w:szCs w:val="20"/>
          <w:lang w:eastAsia="de-DE"/>
        </w:rPr>
      </w:pPr>
      <w:r w:rsidRPr="005479ED">
        <w:rPr>
          <w:rFonts w:ascii="Arial" w:eastAsia="Times New Roman" w:hAnsi="Arial" w:cs="Arial"/>
          <w:sz w:val="20"/>
          <w:szCs w:val="20"/>
          <w:lang w:eastAsia="de-DE"/>
        </w:rPr>
        <w:t>Homid: Murder und Verschlachten</w:t>
      </w:r>
      <w:r w:rsidR="000C6EB4">
        <w:rPr>
          <w:rFonts w:ascii="Arial" w:eastAsia="Times New Roman" w:hAnsi="Arial" w:cs="Arial"/>
          <w:sz w:val="20"/>
          <w:szCs w:val="20"/>
          <w:lang w:eastAsia="de-DE"/>
        </w:rPr>
        <w:t>Murder und Anschlachtung sind zwei Arten von homologen (die Tötung eines Menschen).</w:t>
      </w:r>
      <w:r w:rsidRPr="005479ED">
        <w:rPr>
          <w:rFonts w:ascii="Arial" w:eastAsia="Times New Roman" w:hAnsi="Arial" w:cs="Arial"/>
          <w:sz w:val="20"/>
          <w:szCs w:val="20"/>
          <w:lang w:eastAsia="de-DE"/>
        </w:rPr>
        <w:t>Deborah C. England</w:t>
      </w:r>
      <w:r>
        <w:rPr>
          <w:sz w:val="20"/>
          <w:r>
            <w:t>[…]</w:t>
          </w:r>
        </w:rPr>
      </w:r>
    </w:p>
    <w:p w:rsidR="00F36DBE" w:rsidRPr="000C6EB4" w:rsidRDefault="00F36DBE" w:rsidP="00F36DBE">
      <w:pPr>
        <w:spacing w:after="120"/>
        <w:rPr>
          <w:rFonts w:ascii="Arial" w:eastAsia="Times New Roman" w:hAnsi="Arial" w:cs="Arial"/>
          <w:lang w:eastAsia="de-DE"/>
        </w:rPr>
      </w:pPr>
    </w:p>
    <w:p w:rsidR="00F36DBE" w:rsidRPr="000C6EB4" w:rsidRDefault="00F36DBE" w:rsidP="00F36DBE">
      <w:pPr>
        <w:spacing w:after="120"/>
        <w:rPr>
          <w:rFonts w:ascii="Arial" w:eastAsia="Times New Roman" w:hAnsi="Arial" w:cs="Arial"/>
          <w:lang w:eastAsia="de-DE"/>
        </w:rPr>
      </w:pPr>
    </w:p>
    <w:p w:rsidR="00F36DBE" w:rsidRPr="005479ED" w:rsidRDefault="00F36DBE" w:rsidP="00F36DBE">
      <w:pPr>
        <w:spacing w:after="120"/>
        <w:rPr>
          <w:rFonts w:ascii="Arial" w:eastAsia="Times New Roman" w:hAnsi="Arial" w:cs="Arial"/>
          <w:b/>
          <w:sz w:val="28"/>
          <w:szCs w:val="28"/>
          <w:lang w:val="en-US" w:eastAsia="de-DE"/>
        </w:rPr>
      </w:pPr>
      <w:r w:rsidRPr="005479ED">
        <w:rPr>
          <w:rFonts w:ascii="Arial" w:eastAsia="Times New Roman" w:hAnsi="Arial" w:cs="Arial"/>
          <w:b/>
          <w:sz w:val="28"/>
          <w:szCs w:val="28"/>
          <w:lang w:val="en-US" w:eastAsia="de-DE"/>
        </w:rPr>
        <w:t>Was ist die Homologie?</w:t>
      </w:r>
      <w:r>
        <w:rPr>
          <w:sz w:val="28"/>
          <w:r>
            <w:t>Wenn wir den Begriff ‚Homizid'hören, sind wir der Meinung, dass man von Mord und Mitschlachten denke. Aber diese sind nur zwei Arten von Homziden. Homologizid umfasst rechtmäßige Tötung (z. B. Tötung in Selbstverteidigung), vorsätzliche Tötung (Mord), die im Krieg gegen die mutmaßliche Tötung mit Sanktionen belegten Tötung und fahrlässige Tötung (Mitschlachtung). Homizid beschreibt sogar das, was passiert, wenn der Staat jemanden führt.</w:t>
          </w:r>
        </w:rPr>
      </w:r>
    </w:p>
    <w:p w:rsidR="00F36DBE" w:rsidRPr="005479ED" w:rsidRDefault="00F36DBE" w:rsidP="00F36DBE">
      <w:pPr>
        <w:spacing w:after="120"/>
        <w:rPr>
          <w:rFonts w:ascii="Arial" w:eastAsia="Times New Roman" w:hAnsi="Arial" w:cs="Arial"/>
          <w:b/>
          <w:sz w:val="24"/>
          <w:szCs w:val="24"/>
          <w:lang w:val="en-US" w:eastAsia="de-DE"/>
        </w:rPr>
      </w:pPr>
      <w:r w:rsidRPr="005479ED">
        <w:rPr>
          <w:rFonts w:ascii="Arial" w:eastAsia="Times New Roman" w:hAnsi="Arial" w:cs="Arial"/>
          <w:b/>
          <w:sz w:val="24"/>
          <w:szCs w:val="24"/>
          <w:lang w:val="en-US" w:eastAsia="de-DE"/>
        </w:rPr>
        <w:t>Was ist Murder?</w:t>
      </w:r>
      <w:r>
        <w:rPr>
          <w:sz w:val="24"/>
          <w:r>
            <w:t>Murder ist eine Art von Homimid, die nach dem Recht sehr spezifische Elemente enthält. Die Mord-Straftat ist die Tötung eines Menschen von einem anderen, das</w:t>
          </w:r>
        </w:rPr>
      </w:r>
    </w:p>
    <w:p w:rsidR="00F36DBE" w:rsidRPr="005479ED" w:rsidRDefault="00F36DBE" w:rsidP="00F36DBE">
      <w:pPr>
        <w:spacing w:after="120"/>
        <w:rPr>
          <w:rFonts w:ascii="Arial" w:eastAsia="Times New Roman" w:hAnsi="Arial" w:cs="Arial"/>
          <w:sz w:val="18"/>
          <w:szCs w:val="18"/>
          <w:lang w:val="en-US" w:eastAsia="de-DE"/>
        </w:rPr>
      </w:pPr>
      <w:r w:rsidRPr="005479ED">
        <w:rPr>
          <w:rFonts w:ascii="Arial" w:eastAsia="Times New Roman" w:hAnsi="Arial" w:cs="Arial"/>
          <w:sz w:val="18"/>
          <w:szCs w:val="18"/>
          <w:lang w:val="en-US" w:eastAsia="de-DE"/>
        </w:rPr>
        <w:t>Die vorsätzliche Tötung ist in der Regel nicht Mory-Mory.</w:t>
      </w:r>
      <w:r>
        <w:rPr>
          <w:sz w:val="18"/>
          <w:r>
            <w:t>Illegal (im Gegensatz zu den rechtmäßigen Töten durch einen Polizeioffizier eines Verdächtigen während eines Reises) und</w:t>
          </w:r>
        </w:rPr>
      </w:r>
    </w:p>
    <w:p w:rsidR="00F36DBE" w:rsidRPr="005479ED" w:rsidRDefault="00F36DBE" w:rsidP="00F36DBE">
      <w:pPr>
        <w:spacing w:after="120"/>
        <w:rPr>
          <w:rFonts w:ascii="Arial" w:eastAsia="Times New Roman" w:hAnsi="Arial" w:cs="Arial"/>
          <w:lang w:val="en-US" w:eastAsia="de-DE"/>
        </w:rPr>
      </w:pPr>
    </w:p>
    <w:p w:rsidR="00F36DBE"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mit ‚malice aforethat'</w:t>
      </w:r>
      <w:r>
        <w:rPr>
          <w:sz w:val="20"/>
          <w:r>
            <w:t>Malice aforethate, die manchmal irrtümlicherweise als ‚prezition'bezeichnet werden (Art der malice aforethat), beschreibt einen Zustand, in dem ein Verstoß oder eine Handlung stattfindet,</w:t>
          </w:r>
        </w:rPr>
      </w:r>
    </w:p>
    <w:p w:rsidR="002D024C" w:rsidRPr="005479ED" w:rsidRDefault="002D024C" w:rsidP="00F36DBE">
      <w:pPr>
        <w:spacing w:after="120"/>
        <w:rPr>
          <w:rFonts w:ascii="Arial" w:eastAsia="Times New Roman" w:hAnsi="Arial" w:cs="Arial"/>
          <w:lang w:val="en-US" w:eastAsia="de-DE"/>
        </w:rPr>
      </w:pPr>
    </w:p>
    <w:p w:rsidR="00F36DBE" w:rsidRPr="005479ED" w:rsidRDefault="00F36DBE"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Zweck der Tötung</w:t>
      </w:r>
      <w:r>
        <w:rPr>
          <w:sz w:val="20"/>
          <w:r>
            <w:t>Absicht, sehr schwere oder schwere Körperschäden zu verursachen</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extrem untrennbarer Unterschied zum Wert des menschlichen Lebens oder</w:t>
      </w:r>
      <w:r>
        <w:rPr>
          <w:sz w:val="20"/>
          <w:r>
            <w:t>Die Absicht, eine gefährliche Felie zu begehen, die sich versehentlich zum Tod eines anderen führt.</w:t>
          </w:r>
        </w:rPr>
      </w:r>
    </w:p>
    <w:p w:rsidR="00EF0058" w:rsidRPr="005479ED" w:rsidRDefault="00EF0058" w:rsidP="00F36DBE">
      <w:pPr>
        <w:spacing w:after="120"/>
        <w:rPr>
          <w:rFonts w:ascii="Arial" w:eastAsia="Times New Roman" w:hAnsi="Arial" w:cs="Arial"/>
          <w:lang w:val="en-US" w:eastAsia="de-DE"/>
        </w:rPr>
      </w:pPr>
    </w:p>
    <w:p w:rsidR="00F36DBE" w:rsidRPr="005479ED" w:rsidRDefault="00F36DBE"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Obwohl das Gesetz über die Morde vom Staat in der Lage ist, sind die meisten Staaten ein gemeinsamer Mord. Murder umfasst Mord-Mord (erster Grad-Mord), unverfrühte Mord, wenn der Beklagte dazu bestimmt ist, eine schwere Körperverletzung (zweiter Grad Mord) zu beseitigen, und fely Mory (Tod infolge der Begehung einer gefährlichen Fely).</w:t>
      </w:r>
      <w:r>
        <w:rPr>
          <w:sz w:val="20"/>
          <w:r>
            <w:t>Hier sind einige Beispiele für diese gemeinsamen Arten von Mördern: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Erster Grad. Eine vorsätzliche, vorweggenommene Tötung ist in der Regel als erster Schritt zu betrachten. Wenn der Beklagte die Tötung (als Vergiftung) vorsah, wird sie in der Regel mit dem ersten Mord-Mord in Rechnung gestellt. Der Bezirk Los Angeles-Bezirk O. J. Simpon mit zwei Ermordeln an der ehemaligen Ehefrau Nicole Simpson und einer anderen person. Der Nationalstaatsanwalt hat die ersten Kosten der Morde-Morde auf der Grundlage von Erkenntnissen aus Straftaten, einschließlich einer blutigen Handschuhel, und dem Nachweis erbracht, dass Simpson vor der Tötung vor der Tötung von seinem Ehefrau abgesprochen wurde. Diese Beweise könnten einen plan oder eine Vorwahl zur Begehung der Straftaten enthalten.</w:t>
      </w:r>
      <w:r w:rsidR="0006353D">
        <w:rPr>
          <w:rFonts w:ascii="Arial" w:eastAsia="Times New Roman" w:hAnsi="Arial" w:cs="Arial"/>
          <w:lang w:val="en-US" w:eastAsia="de-DE"/>
        </w:rPr>
        <w:t xml:space="preserve">Zweiter GradIn dem breiten Bericht von Florida 10 Trayvon Martin, der Staatsanwalt in das Sainole County, Florida, in Rechnung gestellt, in dem sich Freiwilligenhiele, George Zimerman, George Zimerman mit zweiter Grad befindet. Der Anwalt, der von der Gesellschaft Zimmerman mit einem zweiten Mord-Mord in Anspruch genommen wurde, ist, dass Zimmermanns Martin, aber keine Beweise dafür gefunden haben, dass die Tötung vorgeworfen wurde. Um eine Verurteilung von Zimmermann zu erhalten, so muss der Staatsanwalt, der sich für den Bericht von Zimmerman, der sich für das Martin bestimmt hat, mit einer schweren Körperschaft zu tun hat.</w:t>
      </w:r>
      <w:r w:rsidRPr="005479ED">
        <w:rPr>
          <w:rFonts w:ascii="Arial" w:eastAsia="Times New Roman" w:hAnsi="Arial" w:cs="Arial"/>
          <w:lang w:val="en-US" w:eastAsia="de-DE"/>
        </w:rPr>
        <w:t>Fely-Mory. Nehmen Sie beispielsweise die Übernahme von Bonnie und Clyde rob. Cyde sprossen und die Schutzeinrichtung während einer Konfrontation. Clyde wird mit einem ersten Mord angeladen. Bonnie wird mit Fely-Mory aufgeladen, weil die Schutzeinrichtung während der Teilnahme von Bonnie als Komplice bei der Begehung von bewaffneten Raubüberfällen verstorben ist. Jetzt geht es nicht an, dass sich Bonnie hinter dem Rad des Gettlaumens befindet, während Clyde robs die bank hat. Nach dem Raubübergang in das Auto und Bonnie-Drehflügler, das ungewollt und tötet wird. Sowohl Bonnie als auch Clyde werden mit Fely Mory aufgeladen, weil sie versehentlich den Fußgänger töten und eine gefährliche Felie begehen.</w:t>
      </w:r>
      <w:r>
        <w:rPr>
          <w:sz w:val="20"/>
          <w:r>
            <w:t>Erschwerende Umstände. Murder, die unter bestimmten Umständen begangen wurde, z. B. durch die Aufnahme oder Ausrichtung einer person in einer bestimmten position, wie ein Polizeibeamter, Richter oder Brandschutzausrüstungen, kann zu einem schweren Satz, einschließlich der Todesstrafe, führen.</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Was ist der Mensch?</w:t>
      </w:r>
      <w:r>
        <w:rPr>
          <w:sz w:val="20"/>
          <w:r>
            <w:t>Die Schlachtung (eine andere Homizid) ist die unrechtmäßige Tötung eines Menschen von einem anderen, ohne malice aforthat.</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Es gibt mehrere Arten von Manntieren, einschließlich: </w:t>
      </w:r>
      <w:r>
        <w:rPr>
          <w:sz w:val="20"/>
          <w:r>
            <w:t>Unfreiwillige Tötung. Dies bezieht sich häufig auf eine unbeabsichtigte Homologie, von kriminell fahrlässig oder ungeduldig. Sie kann sich auch auf eine unbeabsichtigte Tötung einer anderen Straftat als einer Filie beziehen. Im November 2012 stellte ein Las Vegas fest, dass ein Mann, der sich unentflammbar ist, für eine Einweisung an ein Kasino patron, der bei seinem Kopf gestorben ist, nicht mehr geschlachtet wird, da er seinen Kopf zurückzieht.</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Freiwillige Schlachtung. Wenn eine Mord-Abgabe wegen mildernder Umstände, wie z. B. Wärme der passion oder Abschwächung der Kapazität, auf die Müllschlachten beschränkt wird, ist die ermäßigte Abgabe manchmal freiwillig.</w:t>
      </w:r>
      <w:r>
        <w:rPr>
          <w:sz w:val="20"/>
          <w:r>
            <w:t>Fahrzeugschlachtung. Wenn dieses Verbrechen in Rechnung gestellt wird, hatte der Fahrer keine Absicht, schwere Körperschäden zu töten, sondern ein Fahrzeug mit krimineller Fahrlässigkeit zu töten (auch  “grobe Fahrlässigkeit”) oder während der Begehung eines Missbrauchs oder eines anderen Todes durch einen anderen Tod. Diese Abgabe kann durch einen drunk-Fahrer unfallzuweisend getötet werden. Falls bei der Begehung einer Fely der zufällige Tod eingetreten ist, kann die Abgabe auf fely-Mory (erörtert) erhoben werden.</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Intoxikation für die Müllschlachtung. Handelt es sich bei einer intoxierten person um kriminelle Fahrlässigkeit und um den Tod eines anderen, so kann die in Mitleidenschaft gezogen werden. Die Tatsache, dass die person zu unotoxischer Absicht war, eine andere zu töten oder sogar ernsthaft zu töten, ist keine Verteidigung, denn die Müllschlachtung erfordert keine Absicht, zu töten.</w:t>
      </w:r>
      <w:r>
        <w:rPr>
          <w:sz w:val="20"/>
          <w:r>
            <w:t>[…]</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Licht: </w:t>
      </w:r>
      <w:r>
        <w:rPr>
          <w:sz w:val="20"/>
          <w:r>
            <w:t>https://www.kriminaldefenselawyer.com/resource/murder-andhomicide.htm</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Zugriff am 17.5.2021</w:t>
      </w:r>
      <w:r>
        <w:rPr>
          <w:sz w:val="20"/>
          <w:r>
            <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F36DBE">
      <w:pPr>
        <w:numPr>
          <w:ilvl w:val="0"/>
          <w:numId w:val="1"/>
        </w:numPr>
        <w:spacing w:after="120"/>
        <w:ind w:left="357" w:hanging="357"/>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AF11F1"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lastRenderedPageBreak/>
        <w:t/>
      </w:r>
      <w:r w:rsidR="00F36DBE" w:rsidRPr="005479ED">
        <w:rPr>
          <w:rFonts w:ascii="Arial" w:eastAsia="Times New Roman" w:hAnsi="Arial" w:cs="Arial"/>
          <w:b/>
          <w:bCs/>
          <w:lang w:val="en-US" w:eastAsia="de-DE"/>
        </w:rPr>
        <w:t/>
      </w:r>
      <w:r w:rsidR="00F36DBE" w:rsidRPr="005479ED">
        <w:rPr>
          <w:rFonts w:ascii="Arial" w:eastAsia="Times New Roman" w:hAnsi="Arial" w:cs="Arial"/>
          <w:bCs/>
          <w:lang w:val="en-US" w:eastAsia="de-DE"/>
        </w:rPr>
        <w:t xml:space="preserve"/>
      </w:r>
      <w:r w:rsidR="00F36DBE" w:rsidRPr="005479ED">
        <w:rPr>
          <w:rFonts w:ascii="Arial" w:eastAsia="Times New Roman" w:hAnsi="Arial" w:cs="Arial"/>
          <w:lang w:val="en-US" w:eastAsia="de-DE"/>
        </w:rPr>
        <w:t xml:space="preserve"/>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Pr>
          <w:sz w:val="20"/>
          <w:r>
            <w:t/>
          </w:r>
        </w:rPr>
      </w:r>
    </w:p>
    <w:p w:rsidR="00F36DBE" w:rsidRPr="005479ED" w:rsidRDefault="00AF11F1"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00F36DBE" w:rsidRPr="005479ED">
        <w:rPr>
          <w:rFonts w:ascii="Arial" w:eastAsia="Times New Roman" w:hAnsi="Arial" w:cs="Arial"/>
          <w:b/>
          <w:bCs/>
          <w:lang w:val="en-US" w:eastAsia="de-DE"/>
        </w:rPr>
        <w:t/>
      </w:r>
      <w:r w:rsidR="00F36DBE" w:rsidRPr="005479ED">
        <w:rPr>
          <w:rFonts w:ascii="Arial" w:eastAsia="Times New Roman" w:hAnsi="Arial" w:cs="Arial"/>
          <w:lang w:val="en-US" w:eastAsia="de-DE"/>
        </w:rPr>
        <w:t xml:space="preserve"/>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w:r>
      <w:r w:rsidR="00F36DBE" w:rsidRPr="005479ED">
        <w:rPr>
          <w:rFonts w:ascii="Arial" w:eastAsia="Times New Roman" w:hAnsi="Arial" w:cs="Arial"/>
          <w:lang w:val="en-US" w:eastAsia="de-DE"/>
        </w:rPr>
        <w:t/>
      </w:r>
      <w:r w:rsidRPr="005479ED">
        <w:rPr>
          <w:rFonts w:ascii="Arial" w:eastAsia="Times New Roman" w:hAnsi="Arial" w:cs="Arial"/>
          <w:lang w:val="en-US" w:eastAsia="de-DE"/>
        </w:rPr>
        <w:t xml:space="preserve"/>
      </w:r>
      <w:r w:rsidR="00F36DBE" w:rsidRPr="005479ED">
        <w:rPr>
          <w:rFonts w:ascii="Arial" w:eastAsia="Times New Roman" w:hAnsi="Arial" w:cs="Arial"/>
          <w:lang w:val="en-US" w:eastAsia="de-DE"/>
        </w:rPr>
        <w:t/>
      </w:r>
      <w:r>
        <w:rPr>
          <w:sz w:val="20"/>
          <w:r>
            <w:t/>
          </w:r>
        </w:rPr>
      </w:r>
    </w:p>
    <w:p w:rsidR="00F36DBE" w:rsidRPr="005479ED" w:rsidRDefault="00F36DBE"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sidR="00AF11F1" w:rsidRPr="005479ED">
        <w:rPr>
          <w:rFonts w:ascii="Arial" w:eastAsia="Times New Roman" w:hAnsi="Arial" w:cs="Arial"/>
          <w:lang w:val="en-US" w:eastAsia="de-DE"/>
        </w:rPr>
        <w:t xml:space="preserve"/>
      </w:r>
      <w:r w:rsidRPr="005479ED">
        <w:rPr>
          <w:rFonts w:ascii="Arial" w:eastAsia="Times New Roman" w:hAnsi="Arial" w:cs="Arial"/>
          <w:lang w:val="en-US" w:eastAsia="de-DE"/>
        </w:rPr>
        <w:t/>
      </w:r>
      <w:r w:rsidR="00AF11F1" w:rsidRPr="005479ED">
        <w:rPr>
          <w:rFonts w:ascii="Arial" w:eastAsia="Times New Roman" w:hAnsi="Arial" w:cs="Arial"/>
          <w:lang w:val="en-US" w:eastAsia="de-DE"/>
        </w:rPr>
        <w:t/>
      </w:r>
      <w:r w:rsidRPr="005479ED">
        <w:rPr>
          <w:rFonts w:ascii="Arial" w:eastAsia="Times New Roman" w:hAnsi="Arial" w:cs="Arial"/>
          <w:lang w:val="en-US" w:eastAsia="de-DE"/>
        </w:rPr>
        <w:t xml:space="preserve"/>
      </w:r>
      <w:r>
        <w:rPr>
          <w:sz w:val="20"/>
          <w:r>
            <w:t/>
          </w:r>
        </w:rPr>
      </w:r>
    </w:p>
    <w:p w:rsidR="00F36DBE" w:rsidRPr="005479ED" w:rsidRDefault="00F36DBE" w:rsidP="00F36DBE">
      <w:pPr>
        <w:numPr>
          <w:ilvl w:val="0"/>
          <w:numId w:val="3"/>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Pr>
          <w:sz w:val="20"/>
          <w:r>
            <w:t/>
          </w:r>
        </w:rPr>
      </w:r>
    </w:p>
    <w:p w:rsidR="00EF0058" w:rsidRPr="005479ED" w:rsidRDefault="00EF0058" w:rsidP="00EF0058">
      <w:pPr>
        <w:spacing w:after="120"/>
        <w:rPr>
          <w:rFonts w:ascii="Arial" w:eastAsia="Times New Roman" w:hAnsi="Arial" w:cs="Arial"/>
          <w:lang w:val="en-US" w:eastAsia="de-DE"/>
        </w:rPr>
      </w:pPr>
    </w:p>
    <w:p w:rsidR="00F36DBE" w:rsidRPr="005479ED" w:rsidRDefault="00AF11F1" w:rsidP="00F36DBE">
      <w:pPr>
        <w:spacing w:after="120"/>
        <w:rPr>
          <w:rFonts w:ascii="Arial" w:eastAsia="Times New Roman" w:hAnsi="Arial" w:cs="Arial"/>
          <w:b/>
          <w:lang w:val="en-US" w:eastAsia="de-DE"/>
        </w:rPr>
      </w:pPr>
      <w:r w:rsidRPr="005479ED">
        <w:rPr>
          <w:rFonts w:ascii="Arial" w:eastAsia="Times New Roman" w:hAnsi="Arial" w:cs="Arial"/>
          <w:b/>
          <w:lang w:val="en-US" w:eastAsia="de-DE"/>
        </w:rPr>
        <w:t/>
      </w:r>
      <w:r w:rsidR="00F36DBE" w:rsidRPr="005479ED">
        <w:rPr>
          <w:rFonts w:ascii="Arial" w:eastAsia="Times New Roman" w:hAnsi="Arial" w:cs="Arial"/>
          <w:b/>
          <w:lang w:val="en-US" w:eastAsia="de-DE"/>
        </w:rPr>
        <w:t/>
      </w:r>
      <w:r>
        <w:rPr>
          <w:sz w:val="20"/>
          <w:r>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xml:space="preserve"/>
      </w:r>
      <w:r w:rsidR="00AF11F1" w:rsidRPr="005479ED">
        <w:rPr>
          <w:rFonts w:ascii="Arial" w:eastAsia="Times New Roman" w:hAnsi="Arial" w:cs="Arial"/>
          <w:lang w:val="en-US" w:eastAsia="de-DE"/>
        </w:rPr>
        <w:t xml:space="preserve"/>
      </w:r>
      <w:r w:rsidRPr="005479ED">
        <w:rPr>
          <w:rFonts w:ascii="Arial" w:eastAsia="Times New Roman" w:hAnsi="Arial" w:cs="Arial"/>
          <w:lang w:val="en-US" w:eastAsia="de-DE"/>
        </w:rPr>
        <w:t xml:space="preserve"/>
      </w:r>
      <w:r w:rsidRPr="005479ED">
        <w:rPr>
          <w:rFonts w:ascii="Arial" w:eastAsia="Times New Roman" w:hAnsi="Arial" w:cs="Arial"/>
          <w:i/>
          <w:iCs/>
          <w:lang w:val="en-US" w:eastAsia="de-DE"/>
        </w:rPr>
        <w:t/>
      </w:r>
      <w:r w:rsidRPr="005479ED">
        <w:rPr>
          <w:rFonts w:ascii="Arial" w:eastAsia="Times New Roman" w:hAnsi="Arial" w:cs="Arial"/>
          <w:lang w:val="en-US" w:eastAsia="de-DE"/>
        </w:rPr>
        <w:t xml:space="preserve"/>
      </w:r>
      <w:r>
        <w:rPr>
          <w:sz w:val="20"/>
          <w:r>
            <w:t/>
          </w:r>
        </w:rPr>
      </w: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Pr>
          <w:sz w:val="20"/>
          <w:r>
            <w:t/>
          </w:r>
        </w:rPr>
      </w:r>
    </w:p>
    <w:p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Pr>
          <w:sz w:val="20"/>
          <w:r>
            <w:t/>
          </w:r>
        </w:rPr>
      </w:r>
    </w:p>
    <w:p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lang w:val="en-US" w:eastAsia="de-DE"/>
        </w:rPr>
        <w:t/>
      </w:r>
      <w:r w:rsidRPr="005479ED">
        <w:rPr>
          <w:rFonts w:ascii="Arial" w:eastAsia="Times New Roman" w:hAnsi="Arial" w:cs="Arial"/>
          <w:lang w:val="en-US" w:eastAsia="de-DE"/>
        </w:rPr>
        <w:t xml:space="preserve"/>
      </w:r>
      <w:r w:rsidRPr="005479ED">
        <w:rPr>
          <w:rFonts w:ascii="Arial" w:eastAsia="Times New Roman" w:hAnsi="Arial" w:cs="Arial"/>
          <w:lang w:val="en-US" w:eastAsia="de-DE"/>
        </w:rPr>
        <w:lastRenderedPageBreak/>
        <w:t/>
      </w:r>
      <w:r>
        <w:rPr>
          <w:sz w:val="20"/>
          <w:r>
            <w:t/>
          </w:r>
        </w:rPr>
      </w:r>
    </w:p>
    <w:p w:rsidR="00F36DBE" w:rsidRPr="005479ED" w:rsidRDefault="00F36DBE" w:rsidP="002E12D7">
      <w:pPr>
        <w:numPr>
          <w:ilvl w:val="0"/>
          <w:numId w:val="4"/>
        </w:numPr>
        <w:spacing w:after="120"/>
        <w:ind w:left="357" w:hanging="357"/>
        <w:rPr>
          <w:rFonts w:ascii="Arial" w:eastAsia="Times New Roman" w:hAnsi="Arial" w:cs="Arial"/>
          <w:lang w:val="en-US" w:eastAsia="de-DE"/>
        </w:rPr>
      </w:pPr>
      <w:r w:rsidRPr="005479ED">
        <w:rPr>
          <w:rFonts w:ascii="Arial" w:eastAsia="Times New Roman" w:hAnsi="Arial" w:cs="Arial"/>
          <w:b/>
          <w:bCs/>
          <w:lang w:val="en-US" w:eastAsia="de-DE"/>
        </w:rPr>
        <w:t/>
      </w:r>
      <w:r w:rsidRPr="005479ED">
        <w:rPr>
          <w:rFonts w:ascii="Arial" w:eastAsia="Times New Roman" w:hAnsi="Arial" w:cs="Arial"/>
          <w:lang w:val="en-US" w:eastAsia="de-DE"/>
        </w:rPr>
        <w:t xml:space="preserve"/>
      </w:r>
      <w:r w:rsidR="002E12D7" w:rsidRPr="005479ED">
        <w:rPr>
          <w:rFonts w:ascii="Arial" w:eastAsia="Times New Roman" w:hAnsi="Arial" w:cs="Arial"/>
          <w:lang w:val="en-US" w:eastAsia="de-DE"/>
        </w:rPr>
        <w:t/>
      </w:r>
      <w:r w:rsidRPr="005479ED">
        <w:rPr>
          <w:rFonts w:ascii="Arial" w:eastAsia="Times New Roman" w:hAnsi="Arial" w:cs="Arial"/>
          <w:lang w:val="en-US" w:eastAsia="de-DE"/>
        </w:rPr>
        <w:t xml:space="preserve"/>
      </w:r>
      <w:r>
        <w:rPr>
          <w:sz w:val="20"/>
          <w:r>
            <w:t/>
          </w:r>
        </w:rPr>
      </w:r>
    </w:p>
    <w:p w:rsidR="00EF0058" w:rsidRPr="005479ED" w:rsidRDefault="00EF0058" w:rsidP="00EF0058">
      <w:pPr>
        <w:spacing w:after="120"/>
        <w:rPr>
          <w:rFonts w:ascii="Arial" w:eastAsia="Times New Roman" w:hAnsi="Arial" w:cs="Arial"/>
          <w:lang w:val="en-US" w:eastAsia="de-DE"/>
        </w:rPr>
      </w:pPr>
    </w:p>
    <w:p w:rsidR="00F36DBE" w:rsidRPr="005479ED" w:rsidRDefault="00F36DBE" w:rsidP="00F36DBE">
      <w:pPr>
        <w:spacing w:after="120"/>
        <w:rPr>
          <w:rFonts w:ascii="Arial" w:eastAsia="Times New Roman" w:hAnsi="Arial" w:cs="Arial"/>
          <w:lang w:val="en-US" w:eastAsia="de-DE"/>
        </w:rPr>
      </w:pPr>
      <w:r w:rsidRPr="005479ED">
        <w:rPr>
          <w:rFonts w:ascii="Arial" w:eastAsia="Times New Roman" w:hAnsi="Arial" w:cs="Arial"/>
          <w:lang w:val="en-US" w:eastAsia="de-DE"/>
        </w:rPr>
        <w:t/>
      </w:r>
      <w:r>
        <w:rPr>
          <w:sz w:val="20"/>
          <w:r>
            <w:t/>
          </w:r>
        </w:rPr>
      </w:r>
    </w:p>
    <w:p w:rsidR="00F36DBE" w:rsidRPr="005479ED" w:rsidRDefault="00F36DBE" w:rsidP="00F36DBE">
      <w:pPr>
        <w:spacing w:after="120"/>
        <w:rPr>
          <w:rFonts w:ascii="Arial" w:eastAsia="Times New Roman" w:hAnsi="Arial" w:cs="Arial"/>
          <w:lang w:val="en-US" w:eastAsia="de-DE"/>
        </w:rPr>
      </w:pPr>
    </w:p>
    <w:p w:rsidR="00F36DBE" w:rsidRPr="005479ED" w:rsidRDefault="00F36DBE" w:rsidP="00F36DBE">
      <w:pPr>
        <w:spacing w:after="120"/>
        <w:rPr>
          <w:rFonts w:ascii="Arial" w:eastAsia="Times New Roman" w:hAnsi="Arial" w:cs="Arial"/>
          <w:lang w:val="en-US" w:eastAsia="de-DE"/>
        </w:rPr>
      </w:pPr>
    </w:p>
    <w:p w:rsidR="00F36DBE" w:rsidRPr="002D024C" w:rsidRDefault="00F36DBE" w:rsidP="00F36DBE">
      <w:pPr>
        <w:spacing w:after="120"/>
        <w:rPr>
          <w:rFonts w:ascii="Arial" w:eastAsia="Times New Roman" w:hAnsi="Arial" w:cs="Arial"/>
          <w:b/>
          <w:lang w:eastAsia="de-DE"/>
        </w:rPr>
      </w:pPr>
      <w:r w:rsidRPr="002D024C">
        <w:rPr>
          <w:rFonts w:ascii="Arial" w:eastAsia="Times New Roman" w:hAnsi="Arial" w:cs="Arial"/>
          <w:b/>
          <w:lang w:eastAsia="de-DE"/>
        </w:rPr>
        <w:t/>
      </w:r>
      <w:bookmarkStart w:id="0" w:name="_GoBack"/>
      <w:bookmarkEnd w:id="0"/>
      <w:r>
        <w:rPr>
          <w:sz w:val="20"/>
          <w:r>
            <w:t/>
          </w:r>
        </w:rPr>
      </w:r>
    </w:p>
    <w:p w:rsidR="00F36DBE" w:rsidRPr="002D024C" w:rsidRDefault="002D024C" w:rsidP="00F36DBE">
      <w:pPr>
        <w:spacing w:after="120"/>
        <w:rPr>
          <w:rFonts w:ascii="Arial" w:eastAsia="Times New Roman" w:hAnsi="Arial" w:cs="Arial"/>
          <w:lang w:val="en-US" w:eastAsia="de-DE"/>
        </w:rPr>
      </w:pPr>
      <w:hyperlink r:id="rId7" w:history="1">
        <w:r w:rsidR="00F36DBE" w:rsidRPr="002D024C">
          <w:rPr>
            <w:rStyle w:val="Hyperlink"/>
            <w:rFonts w:ascii="Arial" w:eastAsia="Times New Roman" w:hAnsi="Arial" w:cs="Arial"/>
            <w:lang w:val="en-US" w:eastAsia="de-DE"/>
          </w:rPr>
          <w:t/>
        </w:r>
      </w:hyperlink>
    </w:p>
    <w:p w:rsidR="00F36DBE" w:rsidRPr="005479ED" w:rsidRDefault="00F36DBE" w:rsidP="00F36DBE">
      <w:pPr>
        <w:spacing w:after="120"/>
        <w:rPr>
          <w:rFonts w:ascii="Arial" w:eastAsia="Times New Roman" w:hAnsi="Arial" w:cs="Arial"/>
          <w:lang w:eastAsia="de-DE"/>
        </w:rPr>
      </w:pPr>
      <w:r w:rsidRPr="007C049C">
        <w:rPr>
          <w:rFonts w:ascii="Arial" w:eastAsia="Times New Roman" w:hAnsi="Arial" w:cs="Arial"/>
          <w:lang w:eastAsia="de-DE"/>
        </w:rPr>
        <w:t xml:space="preserve"/>
      </w:r>
      <w:r w:rsidR="000C6EB4" w:rsidRPr="007C049C">
        <w:rPr>
          <w:rFonts w:ascii="Arial" w:eastAsia="Times New Roman" w:hAnsi="Arial" w:cs="Arial"/>
          <w:lang w:eastAsia="de-DE"/>
        </w:rPr>
        <w:t/>
      </w:r>
      <w:r w:rsidRPr="007C049C">
        <w:rPr>
          <w:rFonts w:ascii="Arial" w:eastAsia="Times New Roman" w:hAnsi="Arial" w:cs="Arial"/>
          <w:lang w:eastAsia="de-DE"/>
        </w:rPr>
        <w:t/>
      </w:r>
      <w:r w:rsidR="00EF0058" w:rsidRPr="007C049C">
        <w:rPr>
          <w:rFonts w:ascii="Arial" w:eastAsia="Times New Roman" w:hAnsi="Arial" w:cs="Arial"/>
          <w:lang w:eastAsia="de-DE"/>
        </w:rPr>
        <w:t/>
      </w:r>
      <w:r>
        <w:rPr>
          <w:sz w:val="20"/>
          <w:r>
            <w:t/>
          </w:r>
        </w:rPr>
      </w:r>
    </w:p>
    <w:p w:rsidR="00EF0058" w:rsidRPr="005479ED" w:rsidRDefault="00EF0058" w:rsidP="00F36DBE">
      <w:pPr>
        <w:spacing w:after="120"/>
        <w:rPr>
          <w:rFonts w:ascii="Arial" w:eastAsia="Times New Roman" w:hAnsi="Arial" w:cs="Arial"/>
          <w:lang w:val="en-US" w:eastAsia="de-DE"/>
        </w:rPr>
      </w:pPr>
    </w:p>
    <w:p w:rsidR="00EF0058" w:rsidRPr="005479ED" w:rsidRDefault="00EF0058" w:rsidP="00F36DBE">
      <w:pPr>
        <w:spacing w:after="120"/>
        <w:rPr>
          <w:rFonts w:ascii="Arial" w:eastAsia="Times New Roman" w:hAnsi="Arial" w:cs="Arial"/>
          <w:lang w:val="en-US" w:eastAsia="de-DE"/>
        </w:rPr>
      </w:pPr>
    </w:p>
    <w:sectPr w:rsidR="00EF0058" w:rsidRPr="005479ED" w:rsidSect="00513B6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12" w:rsidRDefault="007C049C">
      <w:pPr>
        <w:spacing w:after="0" w:line="240" w:lineRule="auto"/>
      </w:pPr>
      <w:r>
        <w:separator/>
      </w:r>
    </w:p>
  </w:endnote>
  <w:endnote w:type="continuationSeparator" w:id="0">
    <w:p w:rsidR="008E3C12" w:rsidRDefault="007C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053330"/>
      <w:docPartObj>
        <w:docPartGallery w:val="Page Numbers (Bottom of Page)"/>
        <w:docPartUnique/>
      </w:docPartObj>
    </w:sdtPr>
    <w:sdtEndPr/>
    <w:sdtContent>
      <w:p w:rsidR="004815ED" w:rsidRDefault="002A5BA9" w:rsidP="004815ED">
        <w:pPr>
          <w:pStyle w:val="Fuzeile"/>
          <w:jc w:val="center"/>
        </w:pPr>
        <w:r>
          <w:fldChar w:fldCharType="begin"/>
        </w:r>
        <w:r>
          <w:instrText xml:space="preserve"> PAGE   \* MERGEFORMAT </w:instrText>
        </w:r>
        <w:r>
          <w:fldChar w:fldCharType="separate"/>
        </w:r>
        <w:r w:rsidR="002D024C">
          <w:rPr>
            <w:noProof/>
          </w:rPr>
          <w:t>PAGE-GEHALT *MERGEFORMAT 3</w:t>
        </w:r>
        <w:r>
          <w:rPr>
            <w:noProof/>
          </w:rPr>
          <w:fldChar w:fldCharType="end"/>
        </w:r>
        <w:r>
          <w:rPr>
            <w:sz w:val="20"/>
            <w:r>
              <w:t/>
            </w:r>
          </w:rPr>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12" w:rsidRDefault="007C049C">
      <w:pPr>
        <w:spacing w:after="0" w:line="240" w:lineRule="auto"/>
      </w:pPr>
      <w:r>
        <w:separator/>
      </w:r>
    </w:p>
  </w:footnote>
  <w:footnote w:type="continuationSeparator" w:id="0">
    <w:p w:rsidR="008E3C12" w:rsidRDefault="007C0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5E4"/>
    <w:multiLevelType w:val="multilevel"/>
    <w:tmpl w:val="0D2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30CE6"/>
    <w:multiLevelType w:val="multilevel"/>
    <w:tmpl w:val="F35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36E5E"/>
    <w:multiLevelType w:val="multilevel"/>
    <w:tmpl w:val="DCD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9170A"/>
    <w:multiLevelType w:val="multilevel"/>
    <w:tmpl w:val="089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BE"/>
    <w:rsid w:val="0006353D"/>
    <w:rsid w:val="000C6EB4"/>
    <w:rsid w:val="002A5BA9"/>
    <w:rsid w:val="002D024C"/>
    <w:rsid w:val="002E12D7"/>
    <w:rsid w:val="005479ED"/>
    <w:rsid w:val="007C049C"/>
    <w:rsid w:val="008E3C12"/>
    <w:rsid w:val="00AF11F1"/>
    <w:rsid w:val="00E054A7"/>
    <w:rsid w:val="00EF0058"/>
    <w:rsid w:val="00F36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DD75"/>
  <w15:chartTrackingRefBased/>
  <w15:docId w15:val="{D5C14871-596A-4C16-A6EE-5D730182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6DBE"/>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6DBE"/>
    <w:rPr>
      <w:color w:val="0000FF"/>
      <w:u w:val="single"/>
    </w:rPr>
  </w:style>
  <w:style w:type="paragraph" w:styleId="Fuzeile">
    <w:name w:val="footer"/>
    <w:basedOn w:val="Standard"/>
    <w:link w:val="FuzeileZchn"/>
    <w:uiPriority w:val="99"/>
    <w:unhideWhenUsed/>
    <w:rsid w:val="00F36D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6DBE"/>
  </w:style>
  <w:style w:type="character" w:styleId="BesuchterLink">
    <w:name w:val="FollowedHyperlink"/>
    <w:basedOn w:val="Absatz-Standardschriftart"/>
    <w:uiPriority w:val="99"/>
    <w:semiHidden/>
    <w:unhideWhenUsed/>
    <w:rsid w:val="00F36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riminaldefenselawyer.com/resources/murder-and-homicid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5144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Wilma Eleonore Castro-Lesching (wcastro1)</cp:lastModifiedBy>
  <cp:revision>8</cp:revision>
  <dcterms:created xsi:type="dcterms:W3CDTF">2021-05-15T17:23:00Z</dcterms:created>
  <dcterms:modified xsi:type="dcterms:W3CDTF">2021-05-17T14:45:00Z</dcterms:modified>
</cp:coreProperties>
</file>