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FC80E" w14:textId="77777777" w:rsidR="0053144C" w:rsidRDefault="005E2CD0" w:rsidP="005E2CD0">
      <w:pPr>
        <w:jc w:val="center"/>
        <w:rPr>
          <w:rFonts w:ascii="Arial" w:hAnsi="Arial" w:cs="Arial"/>
        </w:rPr>
      </w:pPr>
      <w:r w:rsidRPr="00FD0F0A">
        <w:rPr>
          <w:rFonts w:ascii="Arial" w:hAnsi="Arial" w:cs="Arial"/>
        </w:rPr>
        <w:t>TEIL III.</w:t>
      </w:r>
      <w:r>
        <w:rPr>
          <w:sz w:val="20"/>
          <w:r>
            <w:t>STRAFRECHILLI VORSCHRIFTEN</w:t>
          </w:r>
        </w:rPr>
      </w:r>
    </w:p>
    <w:p w14:paraId="0A731DFE" w14:textId="05E29020" w:rsidR="005E2CD0" w:rsidRPr="00FD0F0A" w:rsidRDefault="005E2CD0" w:rsidP="005E2CD0">
      <w:pPr>
        <w:jc w:val="center"/>
        <w:rPr>
          <w:rFonts w:ascii="Arial" w:hAnsi="Arial" w:cs="Arial"/>
        </w:rPr>
      </w:pPr>
      <w:r>
        <w:rPr>
          <w:sz w:val="20"/>
        </w:rPr>
        <w:t>III.1. Galchichte und Strafprozordordnung</w:t>
      </w:r>
      <w:r>
        <w:rPr>
          <w:sz w:val="20"/>
          <w:r>
            <w:t>In Verberchen ist ein unrechtmäßger Akt oder unterlase, der sich in der Regel nachteilig auf die Gemeinschaft ausgesät und die Dauer der Staat geeigerelt, und das Strafrecht, das die rote Beesttäter bestrafelt, ist nicht die Entsäuerung für den Zug, der Autopund der Rungenschwenken. Das Straffrecht kann andere Ziele, Abgleiter von der Beginn von Verben und Verurteung des verkünten Verhaltens der Gesellschaft wohnende Gesellschaft.</w:t>
          </w:r>
        </w:rPr>
      </w:r>
    </w:p>
    <w:p w14:paraId="27DF7891" w14:textId="77777777" w:rsidR="0053144C" w:rsidRDefault="005E2CD0" w:rsidP="005E2CD0">
      <w:pPr>
        <w:jc w:val="center"/>
        <w:rPr>
          <w:rFonts w:ascii="Arial" w:hAnsi="Arial" w:cs="Arial"/>
        </w:rPr>
      </w:pPr>
      <w:r w:rsidRPr="00FD0F0A">
        <w:rPr>
          <w:rFonts w:ascii="Arial" w:hAnsi="Arial" w:cs="Arial"/>
        </w:rPr>
        <w:t>Die Verhütungsstelle ist in der Bestrefung, bei der die Bestrдmen bestimmt sind, für die Beerentreue bestimmt. Darüber hinlängen die Bestrafung des Straftäter sein Verbergierwerk und die kann-aue Verbindung des Strafverbanes-Turch Verfahen nach der Verurteilung geben, diese zusätlihen Ziele, d. h. der Zweck nicht tergeordnet. Solch nicht ein Notodides-element sein, verfelt es den Kielinen Gund, der Reium der Krunelle Prozess ist nicht voreilig genutzt, um die Person zu bewirnen. Natürlich kann, wenn es um die Fröhm der Vernunft geht, rechtmäßg vor steiner Straftat begeen werden, und die Gigt Umstände, in denen Krimalitдt verhindert werk. Amber die Normposition, von der Bestechung ausgebliebener, der ist, dss eine Straftat begangen werden muss, oder nur, wenn die Zivilbehöde eingreiffen. Potenzielle Kraminelle werden naden no anguff genommen, solange diese tenzialititut nařízení oder.</w:t>
      </w:r>
      <w:r>
        <w:rPr>
          <w:sz w:val="20"/>
          <w:r>
            <w:t>Im übls ist ein Verstoß Geggen das Gesetz entweder (Straftat) oder ein Zivilfehler. Noreralarm-Hute Verletzung einzige Rater von Konsequenzen-wemminell noch zivilisiert. In Verberchen und ein zivilles Unrecht können jedoch in einem einzigen Rechtsakt. Das ist, wenn es um ein Verbeinen und ein zivilles Unrecht geht, die Art des Rechtsakts unterschieden werden, der zu vermerken ist, daß die Konsequenz, Sonderdauer, die Konsequenzen, die sich, die sich, der sich, der sich, der sich, der Schwenken, die Konsequenzen. Wenn das nachfolgende Verfahren straft verfolgt, ist ein Verbergt-Beeren. = Anklagete oder Gremium in einer Strafsache. Wenn der Staatsanwalt erfolgritsch, dreier der Anklagete und ein Satz zur Bestredung des Straftäter verehängt. Im Falle eeiner zivilrechta Aktion der Beklagte (Set). = Verteidiger und wenn die Maßnahme erfolgrich ist, ist der Geggen ihn ein Urteil Geggen ihn, der Dauer der normalen Verfahnen des Zivilrechts vollstleckbar.</w:t>
          </w:r>
        </w:rPr>
      </w:r>
    </w:p>
    <w:p w14:paraId="596B5284" w14:textId="61700459" w:rsidR="005E2CD0" w:rsidRPr="00FD0F0A" w:rsidRDefault="005E2CD0" w:rsidP="005E2CD0">
      <w:pPr>
        <w:rPr>
          <w:rFonts w:ascii="Arial" w:hAnsi="Arial" w:cs="Arial"/>
        </w:rPr>
      </w:pPr>
      <w:r>
        <w:rPr>
          <w:sz w:val="20"/>
        </w:rPr>
        <w:t>Die Ungereimtheiten und der zivielle Ungerechtigkeitstiker sind in der Nähe und Schott von Anfang an einen und der Schauplatz der Klassischen Auchekämter der Verstanden. In beiden rechnete das Gesetz über das sogenannte Sowhl-quantitativ-Gesetz, das sogenannte  “Sowhl-quantitativ”, das Erfrischungsgesetz. In den nächsten zehn Jahnen in England liegt ein Ausschuss für die Revision des Strafetetos den Hemateckähr, und das heißt, er von Statuten Hut vor einen Schritt hin zu einem völlig-Strauß-Gesetz. Ersteres, ein Schotter (Dessing-Klammer-Schrittswahn), Zwergschwanz-Scheitel, Zwerggeschosse, Ablass, Ablass, Ablass, Ablass, Abscheider Verstoßes, das beckte Werkwerk, gelegtete, ergebnige Ergebisse bei der Anwendung und Duration der gesetzzigen codes. Die Reparatur of ‚Fehlern'in dem Getzulich vorgeschriebenen englimmrecht lint ninner ein zuffriddenstellendes Ergebnis erzielt.</w:t>
      </w:r>
      <w:r w:rsidR="006B6AB3">
        <w:rPr>
          <w:rStyle w:val="FootnoteReference"/>
          <w:sz w:val="20"/>
        </w:rPr>
        <w:footnoteReference w:id="1"/>
      </w:r>
      <w:r>
        <w:rPr>
          <w:sz w:val="20"/>
        </w:rPr>
        <w:t xml:space="preserve">In Schottland ist es ein großer Teil des Strafrechts nach-ein-Frage des gememinsamen Rechts, die den Gerichten ermöglicht, den Verderben und Umstadschen andenussen. Gegesetzter Verberchen, aber, die  “Traditionalen” Verberchen im Rahmen des Eeminsaen Recht. In Scottish practice rechtsververBrauchen mit dem mit einem Straftäter ananglaglat wippel, nicht per Bezeichnung, sondern mit der Bezeichnung  “Genmütig”, d. h. die Abweisung Fakten festlegrt, um ein Verbrechen, das zu darstellend ist. Mit dem Urteil des Gerichtshofs vom 16. Mai2002, Frankreich/Kommission, C-482/99, Slg. I.4.3 Bütscher und 4 Commentäre bewohnt bei der EnzickLunge des Grafschaftsrechts des schottisischen Strafts. Darüber, die das system der Staatanwarte, die enthästlichen, ob und wo der Straferfall die Anwendung des Strafrechts ist, in unschätzbaren Fällen beeiträchtigem (siehe unzehn). III.5.3 Straffichtsbarkit. Des kann auch ee bretere whirge haben. Ganz allgemein, wenn Mann, daß ein spezielles Engelt von den Staatsanten als Verrat, ist das Ergebnis, das daß das Gesetz de facto verändert, d. h. mit dem Boden, d. h. mit dem Boden, d. h. mit dem Boden, d. h. mit dem Boden der Getetgeböne oder aube umstritten Diskuskinsekvie ist-Da England in einem system der Staatandwälte geeggen ist, das es ist.</w:t>
      </w:r>
      <w:r w:rsidR="006B6AB3">
        <w:rPr>
          <w:rStyle w:val="FootnoteReference"/>
          <w:sz w:val="20"/>
        </w:rPr>
        <w:footnoteReference w:id="2"/>
      </w:r>
      <w:r>
        <w:rPr>
          <w:sz w:val="20"/>
        </w:rPr>
        <w:t>In Beden Länn handelt es sich um ein Strafjusz mit dem Strafrrecht. Diese Struuren wurden in Neil I Abschnitzt I dargelet.</w:t>
      </w:r>
      <w:r w:rsidR="006B6AB3">
        <w:rPr>
          <w:rStyle w:val="FootnoteReference"/>
          <w:sz w:val="20"/>
        </w:rPr>
        <w:footnoteReference w:id="3"/>
      </w:r>
      <w:r>
        <w:rPr>
          <w:sz w:val="20"/>
        </w:rPr>
        <w:t/>
      </w:r>
      <w:r>
        <w:rPr>
          <w:sz w:val="20"/>
          <w:r>
            <w:t/>
          </w:r>
        </w:rPr>
      </w:r>
    </w:p>
    <w:p w14:paraId="4C0F0619" w14:textId="77777777" w:rsidR="0053144C" w:rsidRDefault="005E2CD0" w:rsidP="005E2CD0">
      <w:pPr>
        <w:rPr>
          <w:rFonts w:ascii="Arial" w:hAnsi="Arial" w:cs="Arial"/>
        </w:rPr>
      </w:pPr>
      <w:r w:rsidRPr="00FD0F0A">
        <w:rPr>
          <w:rFonts w:ascii="Arial" w:hAnsi="Arial" w:cs="Arial"/>
        </w:rPr>
        <w:t/>
      </w:r>
      <w:r>
        <w:rPr>
          <w:sz w:val="20"/>
          <w:r>
            <w:t/>
          </w:r>
        </w:rPr>
      </w:r>
    </w:p>
    <w:p w14:paraId="2E8E4E17" w14:textId="678969C3" w:rsidR="0053144C" w:rsidRDefault="005E2CD0" w:rsidP="005E2CD0">
      <w:pPr>
        <w:rPr>
          <w:rFonts w:ascii="Arial" w:hAnsi="Arial" w:cs="Arial"/>
          <w:i/>
        </w:rPr>
      </w:pPr>
      <w:r w:rsidRPr="00FD0F0A">
        <w:rPr>
          <w:rFonts w:ascii="Arial" w:hAnsi="Arial" w:cs="Arial"/>
          <w:i/>
        </w:rPr>
        <w:t/>
      </w:r>
      <w:r w:rsidR="006B6AB3">
        <w:rPr>
          <w:rStyle w:val="FootnoteReference"/>
          <w:rFonts w:ascii="Arial" w:hAnsi="Arial" w:cs="Arial"/>
          <w:i/>
        </w:rPr>
        <w:footnoteReference w:id="4"/>
      </w:r>
      <w:r w:rsidRPr="00FD0F0A">
        <w:rPr>
          <w:rFonts w:ascii="Arial" w:hAnsi="Arial" w:cs="Arial"/>
          <w:i/>
        </w:rPr>
        <w:t/>
      </w:r>
      <w:r>
        <w:rPr>
          <w:sz w:val="20"/>
          <w:r>
            <w:t/>
          </w:r>
        </w:rPr>
      </w:r>
    </w:p>
    <w:p w14:paraId="054974F0" w14:textId="047E689C" w:rsidR="005E2CD0" w:rsidRPr="0053144C" w:rsidRDefault="005E2CD0" w:rsidP="005E2CD0">
      <w:pPr>
        <w:rPr>
          <w:rFonts w:ascii="Arial" w:hAnsi="Arial" w:cs="Arial"/>
        </w:rPr>
      </w:pPr>
      <w:r>
        <w:rPr>
          <w:sz w:val="20"/>
        </w:rPr>
        <w:t xml:space="preserve"/>
      </w:r>
      <w:r>
        <w:rPr>
          <w:sz w:val="20"/>
        </w:rPr>
        <w:lastRenderedPageBreak/>
        <w:t/>
      </w:r>
      <w:r w:rsidR="00CD4E76">
        <w:rPr>
          <w:rStyle w:val="FootnoteReference"/>
          <w:sz w:val="20"/>
        </w:rPr>
        <w:footnoteReference w:id="5"/>
      </w:r>
      <w:r>
        <w:rPr>
          <w:sz w:val="20"/>
        </w:rPr>
        <w:t xml:space="preserve"/>
      </w:r>
      <w:proofErr w:type="gramStart"/>
      <w:r>
        <w:rPr>
          <w:sz w:val="20"/>
        </w:rPr>
        <w:t/>
      </w:r>
      <w:proofErr w:type="gramEnd"/>
      <w:r>
        <w:rPr>
          <w:sz w:val="20"/>
        </w:rPr>
        <w:t xml:space="preserve"/>
      </w:r>
      <w:r>
        <w:rPr>
          <w:sz w:val="20"/>
          <w:r>
            <w:t/>
          </w:r>
        </w:rPr>
      </w:r>
    </w:p>
    <w:p w14:paraId="64AE3262" w14:textId="55047A11" w:rsidR="006B6AB3" w:rsidRDefault="005E2CD0" w:rsidP="005E2CD0">
      <w:pPr>
        <w:rPr>
          <w:rFonts w:ascii="Arial" w:hAnsi="Arial" w:cs="Arial"/>
        </w:rPr>
      </w:pPr>
      <w:r w:rsidRPr="00FD0F0A">
        <w:rPr>
          <w:rFonts w:ascii="Arial" w:hAnsi="Arial" w:cs="Arial"/>
        </w:rPr>
        <w:t/>
      </w:r>
      <w:r w:rsidR="00CD4E76">
        <w:rPr>
          <w:rStyle w:val="FootnoteReference"/>
          <w:rFonts w:ascii="Arial" w:hAnsi="Arial" w:cs="Arial"/>
        </w:rPr>
        <w:footnoteReference w:id="6"/>
      </w:r>
      <w:r w:rsidRPr="00FD0F0A">
        <w:rPr>
          <w:rFonts w:ascii="Arial" w:hAnsi="Arial" w:cs="Arial"/>
        </w:rPr>
        <w:t xml:space="preserve"/>
      </w:r>
      <w:r>
        <w:rPr>
          <w:rStyle w:val="FootnoteReference"/>
          <w:rFonts w:ascii="Arial" w:hAnsi="Arial" w:cs="Arial"/>
        </w:rPr>
        <w:footnoteReference w:id="7"/>
      </w:r>
      <w:r>
        <w:rPr>
          <w:sz w:val="20"/>
          <w:r>
            <w:t/>
          </w:r>
        </w:rPr>
      </w:r>
    </w:p>
    <w:p w14:paraId="194A58C7" w14:textId="23BEAAE1" w:rsidR="00FD0F0A" w:rsidRDefault="005E2CD0" w:rsidP="005E2CD0">
      <w:pPr>
        <w:rPr>
          <w:rFonts w:ascii="Arial" w:hAnsi="Arial" w:cs="Arial"/>
        </w:rPr>
      </w:pPr>
      <w:r w:rsidRPr="00FD0F0A">
        <w:rPr>
          <w:rFonts w:ascii="Arial" w:hAnsi="Arial" w:cs="Arial"/>
        </w:rPr>
        <w:t xml:space="preserve"/>
      </w:r>
      <w:proofErr w:type="gramStart"/>
      <w:r w:rsidRPr="00FD0F0A">
        <w:rPr>
          <w:rFonts w:ascii="Arial" w:hAnsi="Arial" w:cs="Arial"/>
        </w:rPr>
        <w:t/>
      </w:r>
      <w:proofErr w:type="gramEnd"/>
      <w:r w:rsidRPr="00FD0F0A">
        <w:rPr>
          <w:rFonts w:ascii="Arial" w:hAnsi="Arial" w:cs="Arial"/>
        </w:rPr>
        <w:t xml:space="preserve"/>
      </w:r>
      <w:r>
        <w:rPr>
          <w:sz w:val="20"/>
          <w:r>
            <w:t/>
          </w:r>
        </w:rPr>
      </w:r>
    </w:p>
    <w:p w14:paraId="2F9221AA" w14:textId="77777777" w:rsidR="00FD0F0A" w:rsidRDefault="00FD0F0A" w:rsidP="005E2CD0">
      <w:pPr>
        <w:rPr>
          <w:rFonts w:ascii="Arial" w:hAnsi="Arial" w:cs="Arial"/>
        </w:rPr>
      </w:pPr>
    </w:p>
    <w:p w14:paraId="329635A4" w14:textId="42DADE16" w:rsidR="00B40856" w:rsidRPr="00FD0F0A" w:rsidRDefault="00123D40">
      <w:pPr>
        <w:rPr>
          <w:rFonts w:ascii="Arial" w:hAnsi="Arial" w:cs="Arial"/>
        </w:rPr>
      </w:pPr>
    </w:p>
    <w:sectPr w:rsidR="00B40856" w:rsidRPr="00FD0F0A" w:rsidSect="00A96C9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F4D38" w14:textId="77777777" w:rsidR="00123D40" w:rsidRDefault="00123D40" w:rsidP="005E2CD0">
      <w:pPr>
        <w:spacing w:after="0" w:line="240" w:lineRule="auto"/>
      </w:pPr>
      <w:r>
        <w:separator/>
      </w:r>
    </w:p>
  </w:endnote>
  <w:endnote w:type="continuationSeparator" w:id="0">
    <w:p w14:paraId="5C216BFA" w14:textId="77777777" w:rsidR="00123D40" w:rsidRDefault="00123D40" w:rsidP="005E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D963A" w14:textId="77777777" w:rsidR="00123D40" w:rsidRDefault="00123D40" w:rsidP="005E2CD0">
      <w:pPr>
        <w:spacing w:after="0" w:line="240" w:lineRule="auto"/>
      </w:pPr>
      <w:r>
        <w:separator/>
      </w:r>
    </w:p>
  </w:footnote>
  <w:footnote w:type="continuationSeparator" w:id="0">
    <w:p w14:paraId="12EFF937" w14:textId="77777777" w:rsidR="00123D40" w:rsidRDefault="00123D40" w:rsidP="005E2CD0">
      <w:pPr>
        <w:spacing w:after="0" w:line="240" w:lineRule="auto"/>
      </w:pPr>
      <w:r>
        <w:continuationSeparator/>
      </w:r>
    </w:p>
  </w:footnote>
  <w:footnote w:id="1">
    <w:p w14:paraId="79CD0C84" w14:textId="29DE2056" w:rsidR="006B6AB3" w:rsidRDefault="006B6AB3">
      <w:pPr>
        <w:pStyle w:val="FootnoteText"/>
      </w:pPr>
      <w:r>
        <w:rPr>
          <w:rStyle w:val="FootnoteReference"/>
        </w:rPr>
        <w:footnoteRef/>
      </w:r>
      <w:r>
        <w:t xml:space="preserve">In britisem Recht ist es den mögllich, einen Schaden zu den männlichen, der Sagustimmung auf die dere Weiße Krönung, das nicht auf die Gemeinschaft, die Sonderaugen auf die Art und die Länge, In der Rechtsakt als Straftat behandelt werden kann. Also wurden in R. Brown, [1993] 2 mind. ER 75, Verurteido weggen der Angharffe Personen aufrechterhalten, sterben in Sadiomaschistischen Praktikken, jeder einzeln, erit, sich frestlig zu bewegen und den ihm geleisteten Zstimmung frei zu akzeptieren.</w:t>
      </w:r>
      <w:r w:rsidRPr="00FD0F0A">
        <w:rPr>
          <w:rFonts w:ascii="Arial" w:hAnsi="Arial" w:cs="Arial"/>
          <w:sz w:val="16"/>
          <w:szCs w:val="16"/>
        </w:rPr>
        <w:t>Die Strafe, nicht von der definition her, in der eines Verbergierers, ob es sich um einen Verberchen handelt, ob es sich um sich um Straftat handle.</w:t>
      </w:r>
      <w:r>
        <w:rPr>
          <w:sz w:val="16"/>
          <w:r>
            <w:t>Siehe unten, n. 27.</w:t>
          </w:r>
        </w:rPr>
      </w:r>
    </w:p>
  </w:footnote>
  <w:footnote w:id="2">
    <w:p w14:paraId="61E793EF" w14:textId="1B760CF0" w:rsidR="006B6AB3" w:rsidRPr="006B6AB3" w:rsidRDefault="006B6AB3">
      <w:pPr>
        <w:pStyle w:val="FootnoteText"/>
        <w:rPr>
          <w:rFonts w:ascii="Arial" w:hAnsi="Arial" w:cs="Arial"/>
          <w:sz w:val="16"/>
          <w:szCs w:val="16"/>
        </w:rPr>
      </w:pPr>
      <w:r>
        <w:rPr>
          <w:rStyle w:val="FootnoteReference"/>
        </w:rPr>
        <w:footnoteRef/>
      </w:r>
      <w:r>
        <w:t xml:space="preserve">Ich schließ der Verlezung eines Verfahens ein. In einigen Fällen kann ein Verstoß geggen ein Verfahnen eine schwart Straftat darstollen (z. B. B. ein Nichteatentest der Genhmigungsaufllagen in Umwelleneleganen.</w:t>
      </w:r>
      <w:r w:rsidRPr="00FD0F0A">
        <w:rPr>
          <w:rFonts w:ascii="Arial" w:hAnsi="Arial" w:cs="Arial"/>
          <w:sz w:val="16"/>
          <w:szCs w:val="16"/>
        </w:rPr>
        <w:t>Die Kommission stellt fest, dass das Gesetz über das Gesetz von 1995 über das Gesetz 1995 und das Strangfahnen (Scotland) und das Strangfahnen (Scotland) Act von 1995 und das Strangfahnen (Scotland) -Gesetz von 1995 nicht eingehalten werden. Denane, die sich in weiten Teilen befindet.</w:t>
      </w:r>
      <w:r>
        <w:rPr>
          <w:sz w:val="16"/>
          <w:r>
            <w:t>Zum Beispiel ist es unwhrscheinllich, d. h. das Blaspmieentett in Schottland beingmühlen, obwohl es Theorie-, Straftat-ist-ist, die in England undurft unR v. Gay, R/Lemon [1979] AC 617, 68 Cr App Rep 381 (HL).</w:t>
          </w:r>
        </w:rPr>
      </w:r>
    </w:p>
  </w:footnote>
  <w:footnote w:id="3">
    <w:p w14:paraId="2163B688" w14:textId="28092AD9" w:rsidR="006B6AB3" w:rsidRPr="006B6AB3" w:rsidRDefault="006B6AB3">
      <w:pPr>
        <w:pStyle w:val="FootnoteText"/>
        <w:rPr>
          <w:rFonts w:ascii="Arial" w:hAnsi="Arial" w:cs="Arial"/>
          <w:sz w:val="16"/>
          <w:szCs w:val="16"/>
        </w:rPr>
      </w:pPr>
      <w:r>
        <w:rPr>
          <w:rStyle w:val="FootnoteReference"/>
        </w:rPr>
        <w:footnoteRef/>
      </w:r>
      <w:r>
        <w:t xml:space="preserve"/>
      </w:r>
      <w:r w:rsidRPr="00FD0F0A">
        <w:rPr>
          <w:rFonts w:ascii="Arial" w:hAnsi="Arial" w:cs="Arial"/>
          <w:sz w:val="16"/>
          <w:szCs w:val="16"/>
        </w:rPr>
        <w:t/>
      </w:r>
      <w:r>
        <w:rPr>
          <w:sz w:val="16"/>
          <w:r>
            <w:t/>
          </w:r>
        </w:rPr>
      </w:r>
    </w:p>
  </w:footnote>
  <w:footnote w:id="4">
    <w:p w14:paraId="1DAB4624" w14:textId="66858BF4" w:rsidR="006B6AB3" w:rsidRPr="006B6AB3" w:rsidRDefault="006B6AB3">
      <w:pPr>
        <w:pStyle w:val="FootnoteText"/>
        <w:rPr>
          <w:rFonts w:ascii="Arial" w:hAnsi="Arial" w:cs="Arial"/>
          <w:i/>
          <w:sz w:val="16"/>
          <w:szCs w:val="16"/>
        </w:rPr>
      </w:pPr>
      <w:r>
        <w:rPr>
          <w:rStyle w:val="FootnoteReference"/>
        </w:rPr>
        <w:footnoteRef/>
      </w:r>
      <w:r>
        <w:t xml:space="preserve"/>
      </w:r>
      <w:r w:rsidRPr="00FD0F0A">
        <w:rPr>
          <w:rFonts w:ascii="Arial" w:hAnsi="Arial" w:cs="Arial"/>
          <w:i/>
          <w:sz w:val="16"/>
          <w:szCs w:val="16"/>
        </w:rPr>
        <w:t/>
      </w:r>
      <w:r>
        <w:rPr>
          <w:sz w:val="16"/>
          <w:r>
            <w:t/>
          </w:r>
        </w:rPr>
      </w:r>
    </w:p>
  </w:footnote>
  <w:footnote w:id="5">
    <w:p w14:paraId="007FCCCB" w14:textId="7A7BE9EB" w:rsidR="00CD4E76" w:rsidRPr="00CD4E76" w:rsidRDefault="00CD4E76">
      <w:pPr>
        <w:pStyle w:val="FootnoteText"/>
        <w:rPr>
          <w:rFonts w:ascii="Arial" w:hAnsi="Arial" w:cs="Arial"/>
          <w:sz w:val="16"/>
          <w:szCs w:val="16"/>
        </w:rPr>
      </w:pPr>
      <w:r>
        <w:rPr>
          <w:rStyle w:val="FootnoteReference"/>
        </w:rPr>
        <w:footnoteRef/>
      </w:r>
      <w:r>
        <w:t xml:space="preserve"/>
      </w:r>
      <w:r w:rsidRPr="00FD0F0A">
        <w:rPr>
          <w:rFonts w:ascii="Arial" w:hAnsi="Arial" w:cs="Arial"/>
          <w:sz w:val="16"/>
          <w:szCs w:val="16"/>
        </w:rPr>
        <w:t/>
      </w:r>
      <w:r>
        <w:rPr>
          <w:sz w:val="16"/>
          <w:r>
            <w:t/>
          </w:r>
        </w:rPr>
      </w:r>
    </w:p>
  </w:footnote>
  <w:footnote w:id="6">
    <w:p w14:paraId="27CBC9A0" w14:textId="0BBF4797" w:rsidR="00CD4E76" w:rsidRPr="00CD4E76" w:rsidRDefault="00CD4E76">
      <w:pPr>
        <w:pStyle w:val="FootnoteText"/>
        <w:rPr>
          <w:rFonts w:ascii="Arial" w:hAnsi="Arial" w:cs="Arial"/>
          <w:sz w:val="16"/>
          <w:szCs w:val="16"/>
        </w:rPr>
      </w:pPr>
      <w:r>
        <w:rPr>
          <w:rStyle w:val="FootnoteReference"/>
        </w:rPr>
        <w:footnoteRef/>
      </w:r>
      <w:r>
        <w:t xml:space="preserve"/>
      </w:r>
      <w:r>
        <w:rPr>
          <w:sz w:val="16"/>
        </w:rPr>
        <w:t xml:space="preserve"/>
      </w:r>
      <w:r>
        <w:rPr>
          <w:sz w:val="16"/>
        </w:rPr>
        <w:t/>
      </w:r>
      <w:r>
        <w:rPr>
          <w:sz w:val="16"/>
          <w:r>
            <w:t/>
          </w:r>
        </w:rPr>
      </w:r>
    </w:p>
  </w:footnote>
  <w:footnote w:id="7">
    <w:p w14:paraId="35703AC9" w14:textId="20A42AA3" w:rsidR="005E2CD0" w:rsidRPr="00FD0F0A" w:rsidRDefault="005E2CD0" w:rsidP="005E2CD0">
      <w:pPr>
        <w:pStyle w:val="FootnoteText"/>
        <w:rPr>
          <w:rFonts w:ascii="Arial" w:hAnsi="Arial" w:cs="Arial"/>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30CE6"/>
    <w:multiLevelType w:val="multilevel"/>
    <w:tmpl w:val="F3522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36E5E"/>
    <w:multiLevelType w:val="multilevel"/>
    <w:tmpl w:val="DCDEB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9170A"/>
    <w:multiLevelType w:val="multilevel"/>
    <w:tmpl w:val="0898E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07178706">
    <w:abstractNumId w:val="0"/>
  </w:num>
  <w:num w:numId="2" w16cid:durableId="2014066388">
    <w:abstractNumId w:val="1"/>
  </w:num>
  <w:num w:numId="3" w16cid:durableId="76945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D0"/>
    <w:rsid w:val="0010212E"/>
    <w:rsid w:val="00123D40"/>
    <w:rsid w:val="00525249"/>
    <w:rsid w:val="0053144C"/>
    <w:rsid w:val="005E2CD0"/>
    <w:rsid w:val="006B6AB3"/>
    <w:rsid w:val="00A96C9C"/>
    <w:rsid w:val="00A971E5"/>
    <w:rsid w:val="00B53BF2"/>
    <w:rsid w:val="00B62E1A"/>
    <w:rsid w:val="00B81E12"/>
    <w:rsid w:val="00CC6BEF"/>
    <w:rsid w:val="00CD4E76"/>
    <w:rsid w:val="00CD7BCB"/>
    <w:rsid w:val="00CF4EE0"/>
    <w:rsid w:val="00FD0F0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86B7"/>
  <w15:chartTrackingRefBased/>
  <w15:docId w15:val="{B6EDD3C3-F92D-4DA7-B9D5-AC835B6F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CD0"/>
    <w:pPr>
      <w:spacing w:after="12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E2C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2CD0"/>
    <w:rPr>
      <w:sz w:val="20"/>
      <w:szCs w:val="20"/>
    </w:rPr>
  </w:style>
  <w:style w:type="character" w:styleId="FootnoteReference">
    <w:name w:val="footnote reference"/>
    <w:basedOn w:val="DefaultParagraphFont"/>
    <w:uiPriority w:val="99"/>
    <w:semiHidden/>
    <w:unhideWhenUsed/>
    <w:rsid w:val="005E2CD0"/>
    <w:rPr>
      <w:vertAlign w:val="superscript"/>
    </w:rPr>
  </w:style>
  <w:style w:type="paragraph" w:styleId="BodyText">
    <w:name w:val="Body Text"/>
    <w:basedOn w:val="Normal"/>
    <w:link w:val="BodyTextChar"/>
    <w:uiPriority w:val="1"/>
    <w:semiHidden/>
    <w:unhideWhenUsed/>
    <w:qFormat/>
    <w:rsid w:val="005E2CD0"/>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semiHidden/>
    <w:rsid w:val="005E2CD0"/>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5E2C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30349">
      <w:bodyDiv w:val="1"/>
      <w:marLeft w:val="0"/>
      <w:marRight w:val="0"/>
      <w:marTop w:val="0"/>
      <w:marBottom w:val="0"/>
      <w:divBdr>
        <w:top w:val="none" w:sz="0" w:space="0" w:color="auto"/>
        <w:left w:val="none" w:sz="0" w:space="0" w:color="auto"/>
        <w:bottom w:val="none" w:sz="0" w:space="0" w:color="auto"/>
        <w:right w:val="none" w:sz="0" w:space="0" w:color="auto"/>
      </w:divBdr>
    </w:div>
    <w:div w:id="1024019648">
      <w:bodyDiv w:val="1"/>
      <w:marLeft w:val="0"/>
      <w:marRight w:val="0"/>
      <w:marTop w:val="0"/>
      <w:marBottom w:val="0"/>
      <w:divBdr>
        <w:top w:val="none" w:sz="0" w:space="0" w:color="auto"/>
        <w:left w:val="none" w:sz="0" w:space="0" w:color="auto"/>
        <w:bottom w:val="none" w:sz="0" w:space="0" w:color="auto"/>
        <w:right w:val="none" w:sz="0" w:space="0" w:color="auto"/>
      </w:divBdr>
    </w:div>
    <w:div w:id="1146438446">
      <w:bodyDiv w:val="1"/>
      <w:marLeft w:val="0"/>
      <w:marRight w:val="0"/>
      <w:marTop w:val="0"/>
      <w:marBottom w:val="0"/>
      <w:divBdr>
        <w:top w:val="none" w:sz="0" w:space="0" w:color="auto"/>
        <w:left w:val="none" w:sz="0" w:space="0" w:color="auto"/>
        <w:bottom w:val="none" w:sz="0" w:space="0" w:color="auto"/>
        <w:right w:val="none" w:sz="0" w:space="0" w:color="auto"/>
      </w:divBdr>
    </w:div>
    <w:div w:id="163710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42141-26F8-4752-B890-8D10C3525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Madlin Carli Grünhagel (mgruenha)</dc:creator>
  <cp:keywords/>
  <dc:description/>
  <cp:lastModifiedBy>Madlin Carli Grünhagel (mgruenha)</cp:lastModifiedBy>
  <cp:revision>2</cp:revision>
  <dcterms:created xsi:type="dcterms:W3CDTF">2022-04-29T13:56:00Z</dcterms:created>
  <dcterms:modified xsi:type="dcterms:W3CDTF">2022-04-29T13:56:00Z</dcterms:modified>
</cp:coreProperties>
</file>