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3D70" w14:textId="77777777" w:rsidR="00D32EE7" w:rsidRDefault="00D32EE7" w:rsidP="00D32EE7">
      <w:pPr>
        <w:spacing w:after="0" w:line="360" w:lineRule="auto"/>
        <w:ind w:firstLine="709"/>
      </w:pPr>
      <w:r>
        <w:t>Для начала работы с интерфейсом необходимо убедиться, что все зависимости установлены и структура проекта подготовлена корректно. В первую очередь следует проверить наличие файла requirements.txt, в котором перечислены все необходимые библиотеки, используемые в приложении. После этого установка всех зависимостей выполняется одной командой в терминале: pip install -r requirements.txt. Это обеспечивает корректную работу Streamlit, ONNX Runtime, librosa, numpy и других ключевых модулей, необходимых для запуска приложения.</w:t>
      </w:r>
    </w:p>
    <w:p w14:paraId="068CC037" w14:textId="77777777" w:rsidR="00D32EE7" w:rsidRDefault="00D32EE7" w:rsidP="00D32EE7">
      <w:pPr>
        <w:spacing w:after="0" w:line="360" w:lineRule="auto"/>
        <w:ind w:firstLine="709"/>
        <w:rPr>
          <w:lang w:val="ru-RU"/>
        </w:rPr>
      </w:pPr>
      <w:r>
        <w:t>После успешной установки библиотек интерфейс запускается через терминал с помощью команды streamlit run app.py. При этом важно убедиться, что файл app.py находится в рабочей директории, а также что папка models содержит все необходимые .onnx файлы моделей, указанные в словаре MODEL_INFO. Если какая-либо модель отсутствует или имеет неверное имя, приложение выдаст соответствующее сообщение об ошибке, чтобы пользователь мог оперативно исправить проблему.</w:t>
      </w:r>
    </w:p>
    <w:p w14:paraId="67C40DFC" w14:textId="4CA5DAD4" w:rsidR="00D32EE7" w:rsidRDefault="00D32EE7" w:rsidP="00D32EE7">
      <w:pPr>
        <w:spacing w:after="0" w:line="360" w:lineRule="auto"/>
        <w:ind w:firstLine="709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11C8CF0F" wp14:editId="7352BB74">
            <wp:extent cx="4721637" cy="3978613"/>
            <wp:effectExtent l="0" t="0" r="3175" b="0"/>
            <wp:docPr id="8761221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2144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56" cy="398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761B" w14:textId="191B2D47" w:rsidR="00D32EE7" w:rsidRPr="00D32EE7" w:rsidRDefault="00D32EE7" w:rsidP="00D32EE7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 – общее окно </w:t>
      </w:r>
      <w:proofErr w:type="spellStart"/>
      <w:r>
        <w:rPr>
          <w:lang w:val="ru-RU"/>
        </w:rPr>
        <w:t>интерфеса</w:t>
      </w:r>
      <w:proofErr w:type="spellEnd"/>
    </w:p>
    <w:p w14:paraId="60B6BF3E" w14:textId="77777777" w:rsidR="00D32EE7" w:rsidRDefault="00D32EE7" w:rsidP="00D32EE7">
      <w:pPr>
        <w:spacing w:after="0" w:line="360" w:lineRule="auto"/>
        <w:ind w:firstLine="709"/>
        <w:rPr>
          <w:lang w:val="ru-RU"/>
        </w:rPr>
      </w:pPr>
      <w:r>
        <w:lastRenderedPageBreak/>
        <w:t>После запуска приложения оно открывается в браузере, где пользователь видит основной интерфейс. На главной странице размещено приветствие и краткое описание функционала, после чего становится доступен выпадающий список выбора модели. Каждый элемент списка соответствует одной из предобученных моделей антиспуфинга, и при выборе той или иной модели на экране отображается информация о ней: название, краткое описание, значение EER и пороговое значение T_EER. Такой подход позволяет пользователю заранее ознакомиться с характеристиками модели и выбрать наиболее подходящую под текущие задачи.</w:t>
      </w:r>
    </w:p>
    <w:p w14:paraId="70C74D45" w14:textId="42BA88CE" w:rsidR="00D32EE7" w:rsidRDefault="00D32EE7" w:rsidP="00D32EE7">
      <w:pPr>
        <w:spacing w:after="0" w:line="360" w:lineRule="auto"/>
        <w:ind w:firstLine="709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091F20E7" wp14:editId="197D3479">
            <wp:extent cx="4776280" cy="1349041"/>
            <wp:effectExtent l="0" t="0" r="0" b="0"/>
            <wp:docPr id="21470984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849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267" cy="13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B29" w14:textId="38DC2189" w:rsidR="00D32EE7" w:rsidRPr="00D32EE7" w:rsidRDefault="00D32EE7" w:rsidP="00D32EE7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2 – Меню выбора доступных моделей</w:t>
      </w:r>
    </w:p>
    <w:p w14:paraId="5DD38F61" w14:textId="77777777" w:rsidR="00D32EE7" w:rsidRDefault="00D32EE7" w:rsidP="00D32EE7">
      <w:pPr>
        <w:spacing w:after="0" w:line="360" w:lineRule="auto"/>
        <w:ind w:firstLine="709"/>
        <w:rPr>
          <w:lang w:val="ru-RU"/>
        </w:rPr>
      </w:pPr>
      <w:r>
        <w:t>После выбора модели становится доступна кнопка загрузки аудиофайла. Интерфейс принимает только файлы в формате WAV, что связано с тем, что модель обучалась именно на таком типе данных. Загружаемый файл должен быть монофоническим, с частотой дискретизации 16 кГц и продолжительностью не менее трёх секунд. Как только файл будет загружен, приложение автоматически выполнит его предобработку, приведёт к нужному формату и передаст в модель для анализа. Через несколько секунд пользователь получит результат классификации, который отображается в виде понятного текста: "Живая речь" или "Спуфинг", а также уровень уверенности модели в процентах.</w:t>
      </w:r>
    </w:p>
    <w:p w14:paraId="75F5EFC7" w14:textId="4C923758" w:rsidR="00D32EE7" w:rsidRDefault="00D32EE7" w:rsidP="00D32EE7">
      <w:pPr>
        <w:spacing w:after="0" w:line="360" w:lineRule="auto"/>
        <w:ind w:firstLine="709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2062075C" wp14:editId="088CB80B">
            <wp:extent cx="3592716" cy="1011676"/>
            <wp:effectExtent l="0" t="0" r="1905" b="4445"/>
            <wp:docPr id="854135088" name="Picture 4" descr="A blue and green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5088" name="Picture 4" descr="A blue and green strip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854" cy="12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0DBD" w14:textId="71FD8F48" w:rsidR="00D32EE7" w:rsidRPr="00D32EE7" w:rsidRDefault="00D32EE7" w:rsidP="00D32EE7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3- </w:t>
      </w:r>
      <w:r w:rsidR="008036FE">
        <w:rPr>
          <w:lang w:val="ru-RU"/>
        </w:rPr>
        <w:t>Пример вывода результата работы программы</w:t>
      </w:r>
    </w:p>
    <w:p w14:paraId="6A08EBC1" w14:textId="33652016" w:rsidR="008A58F8" w:rsidRPr="00D32EE7" w:rsidRDefault="00D32EE7" w:rsidP="00D32EE7">
      <w:pPr>
        <w:spacing w:after="0" w:line="360" w:lineRule="auto"/>
        <w:ind w:firstLine="709"/>
        <w:rPr>
          <w:lang w:val="ru-RU"/>
        </w:rPr>
      </w:pPr>
      <w:r>
        <w:lastRenderedPageBreak/>
        <w:t>Таким образом, использование интерфейса не требует глубоких технических знаний и может быть освоено даже новичками. Простота установки, удобство выбора модели и наглядность вывода результатов делают данный инструмент полезным как для исследовательских целей, так и для демонстрации работы моделей в реальном времени.</w:t>
      </w:r>
    </w:p>
    <w:sectPr w:rsidR="008A58F8" w:rsidRPr="00D32EE7" w:rsidSect="00D32EE7">
      <w:pgSz w:w="11906" w:h="16838"/>
      <w:pgMar w:top="1134" w:right="851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18"/>
    <w:rsid w:val="002D6DF6"/>
    <w:rsid w:val="00427F62"/>
    <w:rsid w:val="008036FE"/>
    <w:rsid w:val="008A58F8"/>
    <w:rsid w:val="008E112D"/>
    <w:rsid w:val="008F260F"/>
    <w:rsid w:val="009F63B9"/>
    <w:rsid w:val="00A20F18"/>
    <w:rsid w:val="00D3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F48887"/>
  <w15:chartTrackingRefBased/>
  <w15:docId w15:val="{8FC930D1-8B68-8846-9662-4908E1AB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60F"/>
    <w:pPr>
      <w:jc w:val="both"/>
    </w:pPr>
    <w:rPr>
      <w:rFonts w:ascii="Times New Roman" w:hAnsi="Times New Roman" w:cs="Times New Roman"/>
      <w:color w:val="000000" w:themeColor="text1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60F"/>
    <w:pPr>
      <w:keepNext/>
      <w:keepLines/>
      <w:spacing w:before="360" w:after="80"/>
      <w:jc w:val="center"/>
      <w:outlineLvl w:val="0"/>
    </w:pPr>
    <w:rPr>
      <w:rFonts w:eastAsia="Times New Roman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60F"/>
    <w:pPr>
      <w:keepNext/>
      <w:keepLines/>
      <w:spacing w:before="160" w:after="80"/>
      <w:outlineLvl w:val="1"/>
    </w:pPr>
    <w:rPr>
      <w:rFonts w:eastAsia="Times New Roman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0F"/>
    <w:pPr>
      <w:keepNext/>
      <w:keepLines/>
      <w:spacing w:before="160" w:after="80"/>
      <w:outlineLvl w:val="2"/>
    </w:pPr>
    <w:rPr>
      <w:rFonts w:eastAsia="Times New Roman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F260F"/>
    <w:rPr>
      <w:rFonts w:ascii="Times New Roman" w:eastAsia="Times New Roman" w:hAnsi="Times New Roman"/>
      <w:b/>
      <w:color w:val="000000" w:themeColor="text1"/>
      <w:sz w:val="28"/>
      <w:szCs w:val="40"/>
    </w:rPr>
  </w:style>
  <w:style w:type="character" w:customStyle="1" w:styleId="Heading2Char">
    <w:name w:val="Heading 2 Char"/>
    <w:link w:val="Heading2"/>
    <w:uiPriority w:val="9"/>
    <w:rsid w:val="008F260F"/>
    <w:rPr>
      <w:rFonts w:ascii="Times New Roman" w:eastAsia="Times New Roman" w:hAnsi="Times New Roman"/>
      <w:b/>
      <w:color w:val="000000" w:themeColor="text1"/>
      <w:sz w:val="28"/>
      <w:szCs w:val="32"/>
    </w:rPr>
  </w:style>
  <w:style w:type="character" w:customStyle="1" w:styleId="Heading3Char">
    <w:name w:val="Heading 3 Char"/>
    <w:link w:val="Heading3"/>
    <w:uiPriority w:val="9"/>
    <w:semiHidden/>
    <w:rsid w:val="008F260F"/>
    <w:rPr>
      <w:rFonts w:ascii="Times New Roman" w:eastAsia="Times New Roman" w:hAnsi="Times New Roman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18"/>
    <w:rPr>
      <w:rFonts w:eastAsiaTheme="majorEastAsia" w:cstheme="majorBidi"/>
      <w:i/>
      <w:iCs/>
      <w:color w:val="0F4761" w:themeColor="accent1" w:themeShade="BF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18"/>
    <w:rPr>
      <w:rFonts w:eastAsiaTheme="majorEastAsia" w:cstheme="majorBidi"/>
      <w:color w:val="0F4761" w:themeColor="accent1" w:themeShade="BF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18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18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18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18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20F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18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2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18"/>
    <w:rPr>
      <w:rFonts w:ascii="Times New Roman" w:hAnsi="Times New Roman" w:cs="Times New Roman"/>
      <w:i/>
      <w:iCs/>
      <w:color w:val="404040" w:themeColor="text1" w:themeTint="BF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A2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18"/>
    <w:rPr>
      <w:rFonts w:ascii="Times New Roman" w:hAnsi="Times New Roman" w:cs="Times New Roman"/>
      <w:i/>
      <w:iCs/>
      <w:color w:val="0F4761" w:themeColor="accent1" w:themeShade="BF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20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Галимов Артём Альбертович</dc:creator>
  <cp:keywords/>
  <dc:description/>
  <cp:lastModifiedBy>Галимов Артём Альбертович</cp:lastModifiedBy>
  <cp:revision>2</cp:revision>
  <dcterms:created xsi:type="dcterms:W3CDTF">2025-06-27T15:07:00Z</dcterms:created>
  <dcterms:modified xsi:type="dcterms:W3CDTF">2025-06-27T15:18:00Z</dcterms:modified>
</cp:coreProperties>
</file>