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Brief Note on Impact of GST 2.0 Rate Changes on Rajasthan GST Revenue (FY 2025-26)</w:t>
      </w:r>
    </w:p>
    <w:p>
      <w:r>
        <w:t>The implementation of GST 2.0 rate rationalization has had a significant impact on the GST revenue receipts of Rajasthan during FY 2025-26. While the State has continued to register positive gross growth in GST collections, the revised GST rate structure introduced from September 2025 onwards has substantially moderated the net revenue growth trajectory.</w:t>
      </w:r>
    </w:p>
    <w:p>
      <w:r>
        <w:t>As per the analysis of major contributing sectors, the estimated cumulative impact of GST 2.0 rate changes on Rajasthan’s GST revenue during FY 2025-26 is approximately ₹2,050 Crore (up to March 2026).</w:t>
      </w:r>
    </w:p>
    <w:p>
      <w:pPr>
        <w:pStyle w:val="Heading2"/>
      </w:pPr>
      <w:r>
        <w:t>Key Observations</w:t>
      </w:r>
    </w:p>
    <w:p>
      <w:pPr>
        <w:pStyle w:val="ListBullet"/>
      </w:pPr>
      <w:r>
        <w:t>Rajasthan GST Net Revenue increased from ₹42,518 Crore in FY 2024-25 to ₹45,096 Crore in FY 2025-26, reflecting an overall growth of approximately 6.07%.</w:t>
      </w:r>
    </w:p>
    <w:p>
      <w:pPr>
        <w:pStyle w:val="ListBullet"/>
      </w:pPr>
      <w:r>
        <w:t>After adjusting the estimated impact of GST 2.0 rate reductions, the effective growth would have been approximately 13%, indicating a substantial revenue compression due to rate rationalization.</w:t>
      </w:r>
    </w:p>
    <w:p>
      <w:pPr>
        <w:pStyle w:val="ListBullet"/>
      </w:pPr>
      <w:r>
        <w:t>The adverse impact became visible from October 2025 onwards, after implementation of revised GST rates under GST 2.0.</w:t>
      </w:r>
    </w:p>
    <w:p>
      <w:pPr>
        <w:pStyle w:val="Heading2"/>
      </w:pPr>
      <w:r>
        <w:t>Major Sectors Contributing to Revenue Reduction</w:t>
      </w:r>
    </w:p>
    <w:tbl>
      <w:tblPr>
        <w:tblStyle w:val="TableGrid"/>
        <w:tblW w:type="auto" w:w="0"/>
        <w:tblLook w:firstColumn="1" w:firstRow="1" w:lastColumn="0" w:lastRow="0" w:noHBand="0" w:noVBand="1" w:val="04A0"/>
      </w:tblPr>
      <w:tblGrid>
        <w:gridCol w:w="4320"/>
        <w:gridCol w:w="4320"/>
      </w:tblGrid>
      <w:tr>
        <w:tc>
          <w:tcPr>
            <w:tcW w:type="dxa" w:w="4320"/>
          </w:tcPr>
          <w:p>
            <w:r>
              <w:t>Sector</w:t>
            </w:r>
          </w:p>
        </w:tc>
        <w:tc>
          <w:tcPr>
            <w:tcW w:type="dxa" w:w="4320"/>
          </w:tcPr>
          <w:p>
            <w:r>
              <w:t>Estimated Revenue Impact (₹ Cr.)</w:t>
            </w:r>
          </w:p>
        </w:tc>
      </w:tr>
      <w:tr>
        <w:tc>
          <w:tcPr>
            <w:tcW w:type="dxa" w:w="4320"/>
          </w:tcPr>
          <w:p>
            <w:r>
              <w:t>Vehicle / Automobile &amp; Spare Parts</w:t>
            </w:r>
          </w:p>
        </w:tc>
        <w:tc>
          <w:tcPr>
            <w:tcW w:type="dxa" w:w="4320"/>
          </w:tcPr>
          <w:p>
            <w:r>
              <w:t>-660.92</w:t>
            </w:r>
          </w:p>
        </w:tc>
      </w:tr>
      <w:tr>
        <w:tc>
          <w:tcPr>
            <w:tcW w:type="dxa" w:w="4320"/>
          </w:tcPr>
          <w:p>
            <w:r>
              <w:t>Electrical Equipment</w:t>
            </w:r>
          </w:p>
        </w:tc>
        <w:tc>
          <w:tcPr>
            <w:tcW w:type="dxa" w:w="4320"/>
          </w:tcPr>
          <w:p>
            <w:r>
              <w:t>-518.19</w:t>
            </w:r>
          </w:p>
        </w:tc>
      </w:tr>
      <w:tr>
        <w:tc>
          <w:tcPr>
            <w:tcW w:type="dxa" w:w="4320"/>
          </w:tcPr>
          <w:p>
            <w:r>
              <w:t>Cement &amp; Construction</w:t>
            </w:r>
          </w:p>
        </w:tc>
        <w:tc>
          <w:tcPr>
            <w:tcW w:type="dxa" w:w="4320"/>
          </w:tcPr>
          <w:p>
            <w:r>
              <w:t>-472.07</w:t>
            </w:r>
          </w:p>
        </w:tc>
      </w:tr>
      <w:tr>
        <w:tc>
          <w:tcPr>
            <w:tcW w:type="dxa" w:w="4320"/>
          </w:tcPr>
          <w:p>
            <w:r>
              <w:t>Rubber &amp; Rubber Articles</w:t>
            </w:r>
          </w:p>
        </w:tc>
        <w:tc>
          <w:tcPr>
            <w:tcW w:type="dxa" w:w="4320"/>
          </w:tcPr>
          <w:p>
            <w:r>
              <w:t>-203.48</w:t>
            </w:r>
          </w:p>
        </w:tc>
      </w:tr>
      <w:tr>
        <w:tc>
          <w:tcPr>
            <w:tcW w:type="dxa" w:w="4320"/>
          </w:tcPr>
          <w:p>
            <w:r>
              <w:t>Insurance</w:t>
            </w:r>
          </w:p>
        </w:tc>
        <w:tc>
          <w:tcPr>
            <w:tcW w:type="dxa" w:w="4320"/>
          </w:tcPr>
          <w:p>
            <w:r>
              <w:t>-203.18</w:t>
            </w:r>
          </w:p>
        </w:tc>
      </w:tr>
      <w:tr>
        <w:tc>
          <w:tcPr>
            <w:tcW w:type="dxa" w:w="4320"/>
          </w:tcPr>
          <w:p>
            <w:r>
              <w:t>Heavy Machinery &amp; Air Conditioning</w:t>
            </w:r>
          </w:p>
        </w:tc>
        <w:tc>
          <w:tcPr>
            <w:tcW w:type="dxa" w:w="4320"/>
          </w:tcPr>
          <w:p>
            <w:r>
              <w:t>-171.77</w:t>
            </w:r>
          </w:p>
        </w:tc>
      </w:tr>
      <w:tr>
        <w:tc>
          <w:tcPr>
            <w:tcW w:type="dxa" w:w="4320"/>
          </w:tcPr>
          <w:p>
            <w:r>
              <w:t>Pharmaceuticals</w:t>
            </w:r>
          </w:p>
        </w:tc>
        <w:tc>
          <w:tcPr>
            <w:tcW w:type="dxa" w:w="4320"/>
          </w:tcPr>
          <w:p>
            <w:r>
              <w:t>-136.28</w:t>
            </w:r>
          </w:p>
        </w:tc>
      </w:tr>
    </w:tbl>
    <w:p>
      <w:pPr>
        <w:pStyle w:val="Heading2"/>
      </w:pPr>
      <w:r>
        <w:t>Offset Through Coal Sector</w:t>
      </w:r>
    </w:p>
    <w:p>
      <w:pPr>
        <w:pStyle w:val="ListBullet"/>
      </w:pPr>
      <w:r>
        <w:t>The increase in GST rate on coal from 5% to 18% partially compensated the revenue loss.</w:t>
      </w:r>
    </w:p>
    <w:p>
      <w:pPr>
        <w:pStyle w:val="ListBullet"/>
      </w:pPr>
      <w:r>
        <w:t>The coal and power generation sector contributed an estimated additional revenue of approximately ₹347 Crore.</w:t>
      </w:r>
    </w:p>
    <w:p>
      <w:pPr>
        <w:pStyle w:val="Heading2"/>
      </w:pPr>
      <w:r>
        <w:t>Overall Assessment</w:t>
      </w:r>
    </w:p>
    <w:p>
      <w:r>
        <w:t>The GST 2.0 reforms have resulted in reduction in tax burden across several consumer and industrial sectors, increased affordability and compliance simplification, but also a notable short-term reduction in State GST realization.</w:t>
      </w:r>
    </w:p>
    <w:p>
      <w:r>
        <w:t>Despite the estimated revenue loss of around ₹2,050 Crore, Rajasthan has maintained positive GST growth during FY 2025-26 through improved compliance, economic activity, and administrative enforcement measures.</w:t>
      </w:r>
    </w:p>
    <w:p>
      <w:r>
        <w:t>The analysis indicates that without GST 2.0 rate rationalization, Rajasthan’s GST revenue growth for FY 2025-26 would have been substantially higher.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