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32ED" w14:textId="77777777" w:rsidR="009226C2" w:rsidRPr="009226C2" w:rsidRDefault="009226C2" w:rsidP="009226C2">
      <w:pPr>
        <w:jc w:val="both"/>
      </w:pPr>
      <w:r w:rsidRPr="009226C2">
        <w:t xml:space="preserve">I am writing to apprise you of the revenue implications being experienced by the State of Rajasthan consequent upon the GST rate rationalisation measures undertaken under </w:t>
      </w:r>
      <w:r w:rsidRPr="009226C2">
        <w:rPr>
          <w:b/>
          <w:bCs/>
        </w:rPr>
        <w:t>GST 2.0</w:t>
      </w:r>
      <w:r w:rsidRPr="009226C2">
        <w:t>.</w:t>
      </w:r>
    </w:p>
    <w:p w14:paraId="4CCA9460" w14:textId="77777777" w:rsidR="009226C2" w:rsidRPr="009226C2" w:rsidRDefault="009226C2" w:rsidP="009226C2">
      <w:pPr>
        <w:jc w:val="both"/>
      </w:pPr>
      <w:r w:rsidRPr="009226C2">
        <w:t xml:space="preserve">The rate rationalisation carried out under GST 2.0 represents an important reform initiative aimed at simplifying the tax structure, improving affordability for consumers, and promoting sectoral growth. The State Government fully supports these reform objectives. However, a preliminary assessment undertaken by this Department indicates that Rajasthan has experienced an estimated </w:t>
      </w:r>
      <w:r w:rsidRPr="009226C2">
        <w:rPr>
          <w:b/>
          <w:bCs/>
        </w:rPr>
        <w:t>GST revenue shortfall of approximately ₹2,050 crore</w:t>
      </w:r>
      <w:r w:rsidRPr="009226C2">
        <w:t xml:space="preserve"> during the period </w:t>
      </w:r>
      <w:r w:rsidRPr="009226C2">
        <w:rPr>
          <w:b/>
          <w:bCs/>
        </w:rPr>
        <w:t>22 September 2025 to 31 March 2026</w:t>
      </w:r>
      <w:r w:rsidRPr="009226C2">
        <w:t xml:space="preserve"> following implementation of the revised rate structure.</w:t>
      </w:r>
    </w:p>
    <w:p w14:paraId="12AAFE78" w14:textId="77777777" w:rsidR="009226C2" w:rsidRPr="009226C2" w:rsidRDefault="009226C2" w:rsidP="009226C2">
      <w:pPr>
        <w:jc w:val="both"/>
      </w:pPr>
      <w:r w:rsidRPr="009226C2">
        <w:t xml:space="preserve">The revenue impact has been particularly significant in sectors which historically constitute the core of Rajasthan’s GST base. The State’s revenue profile is substantially dependent upon infrastructure-linked and consumption-driven sectors such as </w:t>
      </w:r>
      <w:r w:rsidRPr="009226C2">
        <w:rPr>
          <w:b/>
          <w:bCs/>
        </w:rPr>
        <w:t>cement, automobile trade, pharmaceuticals, insurance services, and solar/renewable energy</w:t>
      </w:r>
      <w:r w:rsidRPr="009226C2">
        <w:t>.</w:t>
      </w:r>
    </w:p>
    <w:p w14:paraId="44F10208" w14:textId="77777777" w:rsidR="009226C2" w:rsidRPr="009226C2" w:rsidRDefault="009226C2" w:rsidP="009226C2">
      <w:pPr>
        <w:jc w:val="both"/>
      </w:pPr>
      <w:r w:rsidRPr="009226C2">
        <w:t xml:space="preserve">Rajasthan, while being a major cement-producing State, functions largely as a </w:t>
      </w:r>
      <w:r w:rsidRPr="009226C2">
        <w:rPr>
          <w:b/>
          <w:bCs/>
        </w:rPr>
        <w:t>consuming State under the destination-based GST framework</w:t>
      </w:r>
      <w:r w:rsidRPr="009226C2">
        <w:t>. Earlier placement of cement and allied products in higher GST slabs ensured substantial SGST accruals. The reduction in tax rates has resulted in compression of effective tax realisation despite stable or rising consumption levels.</w:t>
      </w:r>
    </w:p>
    <w:p w14:paraId="6CE7CED6" w14:textId="77777777" w:rsidR="009226C2" w:rsidRPr="009226C2" w:rsidRDefault="009226C2" w:rsidP="009226C2">
      <w:pPr>
        <w:jc w:val="both"/>
      </w:pPr>
      <w:r w:rsidRPr="009226C2">
        <w:t xml:space="preserve">Similarly, rationalisation of GST rates in the automobile and pharmaceutical sectors, along with reductions applicable to rubber products and related goods, has lowered tax incidence at the dealer level. While these measures are expected to stimulate demand over the medium term, the </w:t>
      </w:r>
      <w:r w:rsidRPr="009226C2">
        <w:rPr>
          <w:b/>
          <w:bCs/>
        </w:rPr>
        <w:t>immediate fiscal impact has been adverse</w:t>
      </w:r>
      <w:r w:rsidRPr="009226C2">
        <w:t>, leading to a measurable decline in monthly revenue accruals.</w:t>
      </w:r>
    </w:p>
    <w:p w14:paraId="13F6D118" w14:textId="77777777" w:rsidR="009226C2" w:rsidRPr="009226C2" w:rsidRDefault="009226C2" w:rsidP="009226C2">
      <w:pPr>
        <w:jc w:val="both"/>
      </w:pPr>
      <w:r w:rsidRPr="009226C2">
        <w:t>In the solar and renewable energy sector, reduced GST rates combined with higher utilisation of accumulated Input Tax Credit (ITC) have significantly lowered effective tax payments and ITC reversals, further contributing to revenue contraction.</w:t>
      </w:r>
    </w:p>
    <w:p w14:paraId="7EC0482D" w14:textId="77777777" w:rsidR="009226C2" w:rsidRPr="009226C2" w:rsidRDefault="009226C2" w:rsidP="009226C2">
      <w:pPr>
        <w:jc w:val="both"/>
      </w:pPr>
      <w:r w:rsidRPr="009226C2">
        <w:t xml:space="preserve">The cumulative effect across these sectors has resulted in an estimated revenue loss of about </w:t>
      </w:r>
      <w:r w:rsidRPr="009226C2">
        <w:rPr>
          <w:b/>
          <w:bCs/>
        </w:rPr>
        <w:t>₹2,050 crore in FY 2025-26 (post 22 September 2025)</w:t>
      </w:r>
      <w:r w:rsidRPr="009226C2">
        <w:t>.</w:t>
      </w:r>
    </w:p>
    <w:p w14:paraId="319DEAF9" w14:textId="77777777" w:rsidR="009226C2" w:rsidRPr="009226C2" w:rsidRDefault="009226C2" w:rsidP="009226C2">
      <w:pPr>
        <w:jc w:val="both"/>
      </w:pPr>
      <w:r w:rsidRPr="009226C2">
        <w:t xml:space="preserve">The present decline appears largely </w:t>
      </w:r>
      <w:r w:rsidRPr="009226C2">
        <w:rPr>
          <w:b/>
          <w:bCs/>
        </w:rPr>
        <w:t>structural as well as transitional</w:t>
      </w:r>
      <w:r w:rsidRPr="009226C2">
        <w:t>, arising from compression of higher tax slabs and adjustment effects inherent in a destination-based GST system. Such impacts are more pronounced in consuming States like Rajasthan, where revenue realisation is closely linked to final consumption rather than production origin. The anticipated benefits of demand expansion, compliance improvements, and economic buoyancy are expected to materialise only over a longer horizon.</w:t>
      </w:r>
    </w:p>
    <w:p w14:paraId="07CA85FE" w14:textId="7CFBDAA1" w:rsidR="009226C2" w:rsidRPr="009226C2" w:rsidRDefault="009226C2" w:rsidP="009226C2">
      <w:pPr>
        <w:jc w:val="both"/>
      </w:pPr>
      <w:r w:rsidRPr="009226C2">
        <w:t xml:space="preserve">In view of the above, it is requested that the revenue implications of GST 2.0 rate rationalisation may kindly be examined at the level of the </w:t>
      </w:r>
      <w:r w:rsidRPr="009226C2">
        <w:rPr>
          <w:b/>
          <w:bCs/>
        </w:rPr>
        <w:t>Government of India/GST Council</w:t>
      </w:r>
      <w:r w:rsidRPr="009226C2">
        <w:t>, and suitable mechanisms may be considered for</w:t>
      </w:r>
      <w:r>
        <w:t xml:space="preserve"> </w:t>
      </w:r>
      <w:r w:rsidRPr="009226C2">
        <w:t>monitoring post-reform revenue buoyancy</w:t>
      </w:r>
      <w:r>
        <w:t xml:space="preserve">, </w:t>
      </w:r>
      <w:r w:rsidRPr="009226C2">
        <w:t>assessing transitional fiscal stress faced by States and</w:t>
      </w:r>
      <w:r>
        <w:t xml:space="preserve"> </w:t>
      </w:r>
      <w:r w:rsidRPr="009226C2">
        <w:t>evolving appropriate policy responses to ensure revenue stability during the adjustment phase.</w:t>
      </w:r>
    </w:p>
    <w:p w14:paraId="7F830BC1" w14:textId="77777777" w:rsidR="009226C2" w:rsidRPr="009226C2" w:rsidRDefault="009226C2" w:rsidP="009226C2">
      <w:pPr>
        <w:jc w:val="both"/>
      </w:pPr>
      <w:r w:rsidRPr="009226C2">
        <w:t>With warm regards,</w:t>
      </w:r>
    </w:p>
    <w:sectPr w:rsidR="009226C2" w:rsidRPr="00922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A97"/>
    <w:multiLevelType w:val="multilevel"/>
    <w:tmpl w:val="B42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1C3B"/>
    <w:multiLevelType w:val="multilevel"/>
    <w:tmpl w:val="57082B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35E64"/>
    <w:multiLevelType w:val="multilevel"/>
    <w:tmpl w:val="F39AF0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A389A"/>
    <w:multiLevelType w:val="multilevel"/>
    <w:tmpl w:val="537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D2453"/>
    <w:multiLevelType w:val="multilevel"/>
    <w:tmpl w:val="665C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27704"/>
    <w:multiLevelType w:val="multilevel"/>
    <w:tmpl w:val="5C3E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F357DD"/>
    <w:multiLevelType w:val="multilevel"/>
    <w:tmpl w:val="F7F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88582">
    <w:abstractNumId w:val="1"/>
  </w:num>
  <w:num w:numId="2" w16cid:durableId="620918065">
    <w:abstractNumId w:val="0"/>
  </w:num>
  <w:num w:numId="3" w16cid:durableId="1920018020">
    <w:abstractNumId w:val="2"/>
  </w:num>
  <w:num w:numId="4" w16cid:durableId="611716456">
    <w:abstractNumId w:val="6"/>
  </w:num>
  <w:num w:numId="5" w16cid:durableId="510413452">
    <w:abstractNumId w:val="4"/>
  </w:num>
  <w:num w:numId="6" w16cid:durableId="1392777883">
    <w:abstractNumId w:val="3"/>
  </w:num>
  <w:num w:numId="7" w16cid:durableId="870344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802D6"/>
    <w:rsid w:val="000A1A20"/>
    <w:rsid w:val="00252072"/>
    <w:rsid w:val="002E553C"/>
    <w:rsid w:val="00327062"/>
    <w:rsid w:val="003802D6"/>
    <w:rsid w:val="00696950"/>
    <w:rsid w:val="007F1685"/>
    <w:rsid w:val="00892CCF"/>
    <w:rsid w:val="009226C2"/>
    <w:rsid w:val="00A667BA"/>
    <w:rsid w:val="00B12731"/>
    <w:rsid w:val="00C52A9D"/>
    <w:rsid w:val="00CE6CF3"/>
    <w:rsid w:val="00E75D11"/>
    <w:rsid w:val="00E906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4673"/>
  <w15:chartTrackingRefBased/>
  <w15:docId w15:val="{C45F402B-0E34-4079-B5A3-817BC54C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2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802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802D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802D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02D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0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802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802D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802D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02D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0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D6"/>
    <w:rPr>
      <w:rFonts w:eastAsiaTheme="majorEastAsia" w:cstheme="majorBidi"/>
      <w:color w:val="272727" w:themeColor="text1" w:themeTint="D8"/>
    </w:rPr>
  </w:style>
  <w:style w:type="paragraph" w:styleId="Title">
    <w:name w:val="Title"/>
    <w:basedOn w:val="Normal"/>
    <w:next w:val="Normal"/>
    <w:link w:val="TitleChar"/>
    <w:uiPriority w:val="10"/>
    <w:qFormat/>
    <w:rsid w:val="0038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02D6"/>
    <w:rPr>
      <w:i/>
      <w:iCs/>
      <w:color w:val="404040" w:themeColor="text1" w:themeTint="BF"/>
    </w:rPr>
  </w:style>
  <w:style w:type="paragraph" w:styleId="ListParagraph">
    <w:name w:val="List Paragraph"/>
    <w:basedOn w:val="Normal"/>
    <w:uiPriority w:val="34"/>
    <w:qFormat/>
    <w:rsid w:val="003802D6"/>
    <w:pPr>
      <w:ind w:left="720"/>
      <w:contextualSpacing/>
    </w:pPr>
  </w:style>
  <w:style w:type="character" w:styleId="IntenseEmphasis">
    <w:name w:val="Intense Emphasis"/>
    <w:basedOn w:val="DefaultParagraphFont"/>
    <w:uiPriority w:val="21"/>
    <w:qFormat/>
    <w:rsid w:val="003802D6"/>
    <w:rPr>
      <w:i/>
      <w:iCs/>
      <w:color w:val="365F91" w:themeColor="accent1" w:themeShade="BF"/>
    </w:rPr>
  </w:style>
  <w:style w:type="paragraph" w:styleId="IntenseQuote">
    <w:name w:val="Intense Quote"/>
    <w:basedOn w:val="Normal"/>
    <w:next w:val="Normal"/>
    <w:link w:val="IntenseQuoteChar"/>
    <w:uiPriority w:val="30"/>
    <w:qFormat/>
    <w:rsid w:val="003802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02D6"/>
    <w:rPr>
      <w:i/>
      <w:iCs/>
      <w:color w:val="365F91" w:themeColor="accent1" w:themeShade="BF"/>
    </w:rPr>
  </w:style>
  <w:style w:type="character" w:styleId="IntenseReference">
    <w:name w:val="Intense Reference"/>
    <w:basedOn w:val="DefaultParagraphFont"/>
    <w:uiPriority w:val="32"/>
    <w:qFormat/>
    <w:rsid w:val="003802D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469</Words>
  <Characters>2674</Characters>
  <Application>Microsoft Office Word</Application>
  <DocSecurity>0</DocSecurity>
  <Lines>22</Lines>
  <Paragraphs>6</Paragraphs>
  <ScaleCrop>false</ScaleCrop>
  <Company>HP Inc.</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Jaiditya Singh Shekhawat</dc:creator>
  <cp:keywords/>
  <dc:description/>
  <cp:lastModifiedBy>Jaiditya Singh Shekhawat</cp:lastModifiedBy>
  <cp:revision>3</cp:revision>
  <dcterms:created xsi:type="dcterms:W3CDTF">2026-05-18T10:44:00Z</dcterms:created>
  <dcterms:modified xsi:type="dcterms:W3CDTF">2026-05-18T10:46:00Z</dcterms:modified>
</cp:coreProperties>
</file>