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98D5DB2" w:rsidR="006652F0" w:rsidRDefault="006652F0" w:rsidP="004D49C8">
      <w:pPr>
        <w:pStyle w:val="PlainText"/>
        <w:spacing w:line="480" w:lineRule="auto"/>
        <w:rPr>
          <w:rFonts w:asciiTheme="minorHAnsi" w:hAnsiTheme="minorHAnsi"/>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3F50654F" w14:textId="764A3AE9" w:rsidR="009125F5" w:rsidRPr="006652F0" w:rsidRDefault="009125F5" w:rsidP="004D49C8">
      <w:pPr>
        <w:pStyle w:val="PlainText"/>
        <w:spacing w:line="480" w:lineRule="auto"/>
        <w:rPr>
          <w:rFonts w:asciiTheme="minorHAnsi" w:hAnsiTheme="minorHAnsi" w:cs="Courier New"/>
          <w:sz w:val="24"/>
          <w:szCs w:val="24"/>
        </w:rPr>
      </w:pPr>
      <w:r>
        <w:rPr>
          <w:rFonts w:asciiTheme="minorHAnsi" w:hAnsiTheme="minorHAnsi"/>
          <w:sz w:val="24"/>
          <w:szCs w:val="24"/>
        </w:rPr>
        <w:t>Brian used Notepad++ v6.9 because he is too stubborn to learn a new text editor (you don’t want to know how long he used “edit.exe” before he switched to Notepad++!)</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1C6C998B"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 xml:space="preserve">as taught by </w:t>
      </w:r>
      <w:r w:rsidR="00624A1A">
        <w:rPr>
          <w:rFonts w:asciiTheme="minorHAnsi" w:hAnsiTheme="minorHAnsi" w:cs="Courier New"/>
          <w:sz w:val="24"/>
          <w:szCs w:val="24"/>
        </w:rPr>
        <w:t xml:space="preserve">Professor </w:t>
      </w:r>
      <w:bookmarkStart w:id="0" w:name="_GoBack"/>
      <w:bookmarkEnd w:id="0"/>
      <w:r>
        <w:rPr>
          <w:rFonts w:asciiTheme="minorHAnsi" w:hAnsiTheme="minorHAnsi" w:cs="Courier New"/>
          <w:sz w:val="24"/>
          <w:szCs w:val="24"/>
        </w:rPr>
        <w:t>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A205C29"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14:paraId="567C7D51"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34DFE38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0C29C52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397D7210"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1C8DA42F" w14:textId="77777777" w:rsidR="007F1074"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lastRenderedPageBreak/>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00E066C9" w14:textId="77777777" w:rsidR="007F1074" w:rsidRPr="00BD68C6" w:rsidRDefault="007F1074" w:rsidP="004D49C8">
      <w:pPr>
        <w:pStyle w:val="PlainText"/>
        <w:spacing w:line="480" w:lineRule="auto"/>
        <w:rPr>
          <w:rFonts w:asciiTheme="minorHAnsi" w:hAnsiTheme="minorHAnsi" w:cs="Courier New"/>
          <w:sz w:val="24"/>
          <w:szCs w:val="24"/>
        </w:rPr>
      </w:pPr>
    </w:p>
    <w:p w14:paraId="3BD3D9F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14:paraId="495E25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66E703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14:paraId="25D397A4" w14:textId="77777777" w:rsidR="00461AC9" w:rsidRDefault="00461AC9" w:rsidP="007F1074">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(41) Website page where sys-admins can turn on or off features of software</w:t>
      </w:r>
    </w:p>
    <w:p w14:paraId="416D481E" w14:textId="77777777" w:rsidR="007F1074" w:rsidRPr="00BD68C6" w:rsidRDefault="007F1074" w:rsidP="007F1074">
      <w:pPr>
        <w:pStyle w:val="PlainText"/>
        <w:spacing w:line="480" w:lineRule="auto"/>
        <w:ind w:left="1080"/>
        <w:rPr>
          <w:rFonts w:asciiTheme="minorHAnsi" w:hAnsiTheme="minorHAnsi" w:cs="Courier New"/>
          <w:sz w:val="24"/>
          <w:szCs w:val="24"/>
        </w:rPr>
      </w:pPr>
    </w:p>
    <w:p w14:paraId="187483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48D4C05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p>
    <w:p w14:paraId="519A0A14"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313C5F" w:rsidRDefault="00461AC9" w:rsidP="004D49C8">
      <w:pPr>
        <w:pStyle w:val="PlainText"/>
        <w:spacing w:line="480" w:lineRule="auto"/>
        <w:rPr>
          <w:rFonts w:asciiTheme="minorHAnsi" w:hAnsiTheme="minorHAnsi" w:cs="Courier New"/>
          <w:b/>
          <w:sz w:val="24"/>
          <w:szCs w:val="24"/>
        </w:rPr>
      </w:pPr>
      <w:r w:rsidRPr="00313C5F">
        <w:rPr>
          <w:rFonts w:asciiTheme="minorHAnsi" w:hAnsiTheme="minorHAnsi" w:cs="Courier New"/>
          <w:b/>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439D5" w14:textId="77777777" w:rsidR="00EE38D9" w:rsidRDefault="00EE38D9" w:rsidP="00904C68">
      <w:pPr>
        <w:spacing w:after="0" w:line="240" w:lineRule="auto"/>
      </w:pPr>
      <w:r>
        <w:separator/>
      </w:r>
    </w:p>
  </w:endnote>
  <w:endnote w:type="continuationSeparator" w:id="0">
    <w:p w14:paraId="5B6BE020" w14:textId="77777777" w:rsidR="00EE38D9" w:rsidRDefault="00EE38D9"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45B85" w14:textId="77777777" w:rsidR="00EE38D9" w:rsidRDefault="00EE38D9" w:rsidP="00904C68">
      <w:pPr>
        <w:spacing w:after="0" w:line="240" w:lineRule="auto"/>
      </w:pPr>
      <w:r>
        <w:separator/>
      </w:r>
    </w:p>
  </w:footnote>
  <w:footnote w:type="continuationSeparator" w:id="0">
    <w:p w14:paraId="529BF790" w14:textId="77777777" w:rsidR="00EE38D9" w:rsidRDefault="00EE38D9"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3632" w14:textId="77777777" w:rsidR="00904C68" w:rsidRDefault="00904C68">
    <w:pPr>
      <w:pStyle w:val="Header"/>
    </w:pPr>
    <w:r>
      <w:t>iRL: In Real Life</w:t>
    </w:r>
  </w:p>
  <w:p w14:paraId="304BE3A6"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1972" w14:textId="77777777" w:rsidR="00904C68" w:rsidRDefault="00904C68" w:rsidP="00904C68">
    <w:pPr>
      <w:pStyle w:val="Header"/>
    </w:pPr>
    <w:r>
      <w:t>RUNNING HEAD: iRL: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13C5F"/>
    <w:rsid w:val="00373410"/>
    <w:rsid w:val="003F60F3"/>
    <w:rsid w:val="0040071A"/>
    <w:rsid w:val="00407733"/>
    <w:rsid w:val="0044376E"/>
    <w:rsid w:val="004571EE"/>
    <w:rsid w:val="00461AC9"/>
    <w:rsid w:val="00481FF6"/>
    <w:rsid w:val="00496AEC"/>
    <w:rsid w:val="004D49C8"/>
    <w:rsid w:val="00504E70"/>
    <w:rsid w:val="00532BE0"/>
    <w:rsid w:val="005B0B37"/>
    <w:rsid w:val="005B2DBB"/>
    <w:rsid w:val="00624A1A"/>
    <w:rsid w:val="00625DBA"/>
    <w:rsid w:val="00635CF0"/>
    <w:rsid w:val="006652F0"/>
    <w:rsid w:val="007B13F1"/>
    <w:rsid w:val="007E358D"/>
    <w:rsid w:val="007F1074"/>
    <w:rsid w:val="00826360"/>
    <w:rsid w:val="00904C68"/>
    <w:rsid w:val="009120A8"/>
    <w:rsid w:val="009125F5"/>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E38D9"/>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266A9"/>
  <w15:docId w15:val="{8BDFEB52-1A46-4D10-AF73-B6A4BD8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Semrau, Brian</cp:lastModifiedBy>
  <cp:revision>24</cp:revision>
  <dcterms:created xsi:type="dcterms:W3CDTF">2016-05-01T05:27:00Z</dcterms:created>
  <dcterms:modified xsi:type="dcterms:W3CDTF">2016-05-03T17:09:00Z</dcterms:modified>
</cp:coreProperties>
</file>