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2012-1-8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车辆类型（没有）</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vAlign w:val="top"/>
          </w:tcPr>
          <w:p>
            <w:pPr>
              <w:ind w:left="0" w:leftChars="0" w:firstLine="0" w:firstLineChars="0"/>
              <w:rPr>
                <w:rFonts w:hint="default"/>
                <w:vertAlign w:val="baseline"/>
                <w:lang w:val="en-US" w:eastAsia="zh-CN"/>
              </w:rPr>
            </w:pPr>
            <w:r>
              <w:rPr>
                <w:rFonts w:hint="eastAsia"/>
                <w:vertAlign w:val="baseline"/>
                <w:lang w:val="en-US" w:eastAsia="zh-CN"/>
              </w:rPr>
              <w:t>统计信息（自己算，提供lib库）</w:t>
            </w: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车道排队长度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queue_length</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车道排队车辆数</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queue_num</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车道/路段速度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road_speed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bookmarkStart w:id="3" w:name="_GoBack"/>
            <w:bookmarkEnd w:id="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585"/>
        <w:gridCol w:w="2215"/>
        <w:gridCol w:w="1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 xml:space="preserve">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 </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相位用一个一维数组存储。存储相位的信息和指向下一个嵌套相位的指针；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将预测流量值或者上游车辆到达分布、初始排队车辆数和和每个相位的清空比例上下限作为主要依据，分配嵌套相位的初始绿灯时长。按照如下的计算公式，确定嵌套相位的初始候选绿灯时长：</w:t>
      </w:r>
    </w:p>
    <w:p>
      <w:pPr>
        <w:jc w:val="center"/>
      </w:pPr>
      <w:r>
        <w:drawing>
          <wp:inline distT="0" distB="0" distL="114300" distR="114300">
            <wp:extent cx="4467225" cy="457200"/>
            <wp:effectExtent l="0" t="0" r="0" b="0"/>
            <wp:docPr id="95"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pic:cNvPicPr>
                      <a:picLocks noChangeAspect="1"/>
                    </pic:cNvPicPr>
                  </pic:nvPicPr>
                  <pic:blipFill>
                    <a:blip r:embed="rId36"/>
                    <a:stretch>
                      <a:fillRect/>
                    </a:stretch>
                  </pic:blipFill>
                  <pic:spPr>
                    <a:xfrm>
                      <a:off x="0" y="0"/>
                      <a:ext cx="44672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37"/>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38"/>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39"/>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嵌套相位下基于清空比例约束每个相位的车道流量值的最大值，以5分钟为统计间隔，单位：pcu/5min；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0"/>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41"/>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43"/>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相位i在时间间隔开始时的排队车辆数（基于清空比例调整），单位：pch；</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44"/>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45"/>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46"/>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7"/>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48"/>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49"/>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0"/>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51"/>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决策树算法的目标函数是最小化所有车辆的累积延误值。在计算延误过程汇总，考虑不同车辆类型的延误权重，便于实施公交优先或特种车辆优先通行。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5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5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5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55"/>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5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3438525" cy="962025"/>
            <wp:effectExtent l="0" t="0" r="9525" b="8890"/>
            <wp:docPr id="7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pic:cNvPicPr>
                      <a:picLocks noChangeAspect="1"/>
                    </pic:cNvPicPr>
                  </pic:nvPicPr>
                  <pic:blipFill>
                    <a:blip r:embed="rId57"/>
                    <a:stretch>
                      <a:fillRect/>
                    </a:stretch>
                  </pic:blipFill>
                  <pic:spPr>
                    <a:xfrm>
                      <a:off x="0" y="0"/>
                      <a:ext cx="3438525" cy="962025"/>
                    </a:xfrm>
                    <a:prstGeom prst="rect">
                      <a:avLst/>
                    </a:prstGeom>
                    <a:noFill/>
                    <a:ln>
                      <a:noFill/>
                    </a:ln>
                  </pic:spPr>
                </pic:pic>
              </a:graphicData>
            </a:graphic>
          </wp:inline>
        </w:drawing>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5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6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6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6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6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6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6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6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ind w:left="0" w:leftChars="0" w:firstLine="480" w:firstLineChars="0"/>
        <w:jc w:val="center"/>
        <w:rPr>
          <w:rFonts w:hint="default"/>
          <w:lang w:val="en-US" w:eastAsia="zh-CN"/>
        </w:rPr>
      </w:pP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6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rPr>
          <w:rFonts w:hint="eastAsia"/>
          <w:lang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9525" b="825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68"/>
                    <a:stretch>
                      <a:fillRect/>
                    </a:stretch>
                  </pic:blipFill>
                  <pic:spPr>
                    <a:xfrm>
                      <a:off x="0" y="0"/>
                      <a:ext cx="619125" cy="238125"/>
                    </a:xfrm>
                    <a:prstGeom prst="rect">
                      <a:avLst/>
                    </a:prstGeom>
                    <a:noFill/>
                    <a:ln>
                      <a:noFill/>
                    </a:ln>
                  </pic:spPr>
                </pic:pic>
              </a:graphicData>
            </a:graphic>
          </wp:inline>
        </w:drawing>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6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其他后续相位按剩余清空车辆的优先级分别增加相位绿灯时长（有车辆优先通行标记的相位，只增加相位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71"/>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72"/>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73"/>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28" o:spt="75" type="#_x0000_t75" style="height:216.95pt;width:377.4pt;" o:ole="t" filled="f" o:preferrelative="t" stroked="f" coordsize="21600,21600">
            <v:path/>
            <v:fill on="f" focussize="0,0"/>
            <v:stroke on="f"/>
            <v:imagedata r:id="rId75" o:title=""/>
            <o:lock v:ext="edit" aspectratio="f"/>
            <w10:wrap type="none"/>
            <w10:anchorlock/>
          </v:shape>
          <o:OLEObject Type="Embed" ProgID="Visio.Drawing.11" ShapeID="_x0000_i1028" DrawAspect="Content" ObjectID="_1468075728" r:id="rId74">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drawing>
          <wp:inline distT="0" distB="0" distL="114300" distR="114300">
            <wp:extent cx="1076325" cy="457200"/>
            <wp:effectExtent l="0" t="0" r="0"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pic:cNvPicPr>
                      <a:picLocks noChangeAspect="1"/>
                    </pic:cNvPicPr>
                  </pic:nvPicPr>
                  <pic:blipFill>
                    <a:blip r:embed="rId76"/>
                    <a:stretch>
                      <a:fillRect/>
                    </a:stretch>
                  </pic:blipFill>
                  <pic:spPr>
                    <a:xfrm>
                      <a:off x="0" y="0"/>
                      <a:ext cx="10763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同时，记每一相位阶段s绿灯开始时，输入状态由一组向量组成</w:t>
      </w:r>
      <w:r>
        <w:drawing>
          <wp:inline distT="0" distB="0" distL="114300" distR="114300">
            <wp:extent cx="1857375" cy="228600"/>
            <wp:effectExtent l="0" t="0" r="9525" b="0"/>
            <wp:docPr id="9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pic:cNvPicPr>
                      <a:picLocks noChangeAspect="1"/>
                    </pic:cNvPicPr>
                  </pic:nvPicPr>
                  <pic:blipFill>
                    <a:blip r:embed="rId77"/>
                    <a:stretch>
                      <a:fillRect/>
                    </a:stretch>
                  </pic:blipFill>
                  <pic:spPr>
                    <a:xfrm>
                      <a:off x="0" y="0"/>
                      <a:ext cx="1857375" cy="228600"/>
                    </a:xfrm>
                    <a:prstGeom prst="rect">
                      <a:avLst/>
                    </a:prstGeom>
                    <a:noFill/>
                    <a:ln>
                      <a:noFill/>
                    </a:ln>
                  </pic:spPr>
                </pic:pic>
              </a:graphicData>
            </a:graphic>
          </wp:inline>
        </w:drawing>
      </w:r>
      <w:r>
        <w:rPr>
          <w:rFonts w:hint="eastAsia"/>
          <w:lang w:eastAsia="zh-CN"/>
        </w:rPr>
        <w:t>，</w:t>
      </w:r>
      <w:r>
        <w:rPr>
          <w:rFonts w:hint="eastAsia"/>
          <w:lang w:val="en-US" w:eastAsia="zh-CN"/>
        </w:rPr>
        <w:t>如果相位i处于绿灯状态，驶出的排队车辆和到达车辆为</w:t>
      </w:r>
    </w:p>
    <w:p>
      <w:pPr>
        <w:jc w:val="center"/>
        <w:rPr>
          <w:rFonts w:hint="eastAsia"/>
          <w:lang w:eastAsia="zh-CN"/>
        </w:rPr>
      </w:pPr>
      <w:r>
        <w:drawing>
          <wp:inline distT="0" distB="0" distL="114300" distR="114300">
            <wp:extent cx="1390650" cy="238125"/>
            <wp:effectExtent l="0" t="0" r="0" b="8255"/>
            <wp:docPr id="9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pic:cNvPicPr>
                      <a:picLocks noChangeAspect="1"/>
                    </pic:cNvPicPr>
                  </pic:nvPicPr>
                  <pic:blipFill>
                    <a:blip r:embed="rId78"/>
                    <a:stretch>
                      <a:fillRect/>
                    </a:stretch>
                  </pic:blipFill>
                  <pic:spPr>
                    <a:xfrm>
                      <a:off x="0" y="0"/>
                      <a:ext cx="1390650" cy="238125"/>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1695450" cy="238125"/>
            <wp:effectExtent l="0" t="0" r="0" b="8255"/>
            <wp:docPr id="10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pic:cNvPicPr>
                      <a:picLocks noChangeAspect="1"/>
                    </pic:cNvPicPr>
                  </pic:nvPicPr>
                  <pic:blipFill>
                    <a:blip r:embed="rId79"/>
                    <a:stretch>
                      <a:fillRect/>
                    </a:stretch>
                  </pic:blipFill>
                  <pic:spPr>
                    <a:xfrm>
                      <a:off x="0" y="0"/>
                      <a:ext cx="1695450" cy="238125"/>
                    </a:xfrm>
                    <a:prstGeom prst="rect">
                      <a:avLst/>
                    </a:prstGeom>
                    <a:noFill/>
                    <a:ln>
                      <a:noFill/>
                    </a:ln>
                  </pic:spPr>
                </pic:pic>
              </a:graphicData>
            </a:graphic>
          </wp:inline>
        </w:drawing>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80"/>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drawing>
          <wp:inline distT="0" distB="0" distL="114300" distR="114300">
            <wp:extent cx="2905125" cy="228600"/>
            <wp:effectExtent l="0" t="0" r="9525" b="0"/>
            <wp:docPr id="10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pic:cNvPicPr>
                      <a:picLocks noChangeAspect="1"/>
                    </pic:cNvPicPr>
                  </pic:nvPicPr>
                  <pic:blipFill>
                    <a:blip r:embed="rId81"/>
                    <a:stretch>
                      <a:fillRect/>
                    </a:stretch>
                  </pic:blipFill>
                  <pic:spPr>
                    <a:xfrm>
                      <a:off x="0" y="0"/>
                      <a:ext cx="2905125"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default" w:eastAsia="宋体"/>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82"/>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jc w:val="both"/>
        <w:rPr>
          <w:rFonts w:hint="eastAsia"/>
          <w:lang w:val="en-US" w:eastAsia="zh-CN"/>
        </w:rPr>
      </w:pPr>
      <w:r>
        <w:rPr>
          <w:rFonts w:hint="eastAsia"/>
          <w:lang w:val="en-US" w:eastAsia="zh-CN"/>
        </w:rPr>
        <w:t>为避免相同相序阶段下延误的重复计算，建立延误数组</w:t>
      </w:r>
      <w:r>
        <w:drawing>
          <wp:inline distT="0" distB="0" distL="114300" distR="114300">
            <wp:extent cx="371475" cy="200025"/>
            <wp:effectExtent l="0" t="0" r="0" b="6985"/>
            <wp:docPr id="8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pic:cNvPicPr>
                      <a:picLocks noChangeAspect="1"/>
                    </pic:cNvPicPr>
                  </pic:nvPicPr>
                  <pic:blipFill>
                    <a:blip r:embed="rId83"/>
                    <a:stretch>
                      <a:fillRect/>
                    </a:stretch>
                  </pic:blipFill>
                  <pic:spPr>
                    <a:xfrm>
                      <a:off x="0" y="0"/>
                      <a:ext cx="371475" cy="200025"/>
                    </a:xfrm>
                    <a:prstGeom prst="rect">
                      <a:avLst/>
                    </a:prstGeom>
                    <a:noFill/>
                    <a:ln>
                      <a:noFill/>
                    </a:ln>
                  </pic:spPr>
                </pic:pic>
              </a:graphicData>
            </a:graphic>
          </wp:inline>
        </w:drawing>
      </w:r>
      <w:r>
        <w:rPr>
          <w:rFonts w:hint="eastAsia"/>
          <w:lang w:val="en-US" w:eastAsia="zh-CN"/>
        </w:rPr>
        <w:t>，用于存储指定流量下相序阶段结束时刻的延误值。</w:t>
      </w:r>
    </w:p>
    <w:p>
      <w:pPr>
        <w:jc w:val="center"/>
        <w:rPr>
          <w:rFonts w:hint="default"/>
          <w:lang w:val="en-US" w:eastAsia="zh-CN"/>
        </w:rPr>
      </w:pPr>
      <w:r>
        <w:drawing>
          <wp:inline distT="0" distB="0" distL="114300" distR="114300">
            <wp:extent cx="3343275" cy="228600"/>
            <wp:effectExtent l="0" t="0" r="0" b="0"/>
            <wp:docPr id="8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pic:cNvPicPr>
                      <a:picLocks noChangeAspect="1"/>
                    </pic:cNvPicPr>
                  </pic:nvPicPr>
                  <pic:blipFill>
                    <a:blip r:embed="rId84"/>
                    <a:stretch>
                      <a:fillRect/>
                    </a:stretch>
                  </pic:blipFill>
                  <pic:spPr>
                    <a:xfrm>
                      <a:off x="0" y="0"/>
                      <a:ext cx="3343275" cy="228600"/>
                    </a:xfrm>
                    <a:prstGeom prst="rect">
                      <a:avLst/>
                    </a:prstGeom>
                    <a:noFill/>
                    <a:ln>
                      <a:noFill/>
                    </a:ln>
                  </pic:spPr>
                </pic:pic>
              </a:graphicData>
            </a:graphic>
          </wp:inline>
        </w:drawing>
      </w: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85"/>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6"/>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C570C"/>
    <w:rsid w:val="02036919"/>
    <w:rsid w:val="0207242C"/>
    <w:rsid w:val="021E1A97"/>
    <w:rsid w:val="021F4B23"/>
    <w:rsid w:val="02257F5E"/>
    <w:rsid w:val="022E7D51"/>
    <w:rsid w:val="023D73F6"/>
    <w:rsid w:val="024B5621"/>
    <w:rsid w:val="024D1943"/>
    <w:rsid w:val="024D5B1B"/>
    <w:rsid w:val="025905A2"/>
    <w:rsid w:val="025B33AA"/>
    <w:rsid w:val="02817A9C"/>
    <w:rsid w:val="02BC3DA7"/>
    <w:rsid w:val="02DC6354"/>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51D0A"/>
    <w:rsid w:val="049768FD"/>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E37826"/>
    <w:rsid w:val="05EC65D5"/>
    <w:rsid w:val="05F20340"/>
    <w:rsid w:val="06017643"/>
    <w:rsid w:val="06174C7C"/>
    <w:rsid w:val="061A36BB"/>
    <w:rsid w:val="06340811"/>
    <w:rsid w:val="06340F23"/>
    <w:rsid w:val="06382735"/>
    <w:rsid w:val="06470A98"/>
    <w:rsid w:val="066D1A8C"/>
    <w:rsid w:val="069A682D"/>
    <w:rsid w:val="06A84566"/>
    <w:rsid w:val="06A9563F"/>
    <w:rsid w:val="06D531E3"/>
    <w:rsid w:val="070E227F"/>
    <w:rsid w:val="071077F5"/>
    <w:rsid w:val="07323D22"/>
    <w:rsid w:val="07331C77"/>
    <w:rsid w:val="07351B27"/>
    <w:rsid w:val="07420EAE"/>
    <w:rsid w:val="074A46D7"/>
    <w:rsid w:val="0776042A"/>
    <w:rsid w:val="077B3BA2"/>
    <w:rsid w:val="07A661DD"/>
    <w:rsid w:val="07AB0B79"/>
    <w:rsid w:val="07E623EC"/>
    <w:rsid w:val="07EA490A"/>
    <w:rsid w:val="07F157CA"/>
    <w:rsid w:val="081210A8"/>
    <w:rsid w:val="08353735"/>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60777"/>
    <w:rsid w:val="09CC7592"/>
    <w:rsid w:val="09D20B1C"/>
    <w:rsid w:val="09DF42B5"/>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A6048"/>
    <w:rsid w:val="0B66699B"/>
    <w:rsid w:val="0B6A0B78"/>
    <w:rsid w:val="0B6F3AD2"/>
    <w:rsid w:val="0BEB45F3"/>
    <w:rsid w:val="0C051CCB"/>
    <w:rsid w:val="0C163C77"/>
    <w:rsid w:val="0C313231"/>
    <w:rsid w:val="0C3512C3"/>
    <w:rsid w:val="0C35414C"/>
    <w:rsid w:val="0CE54332"/>
    <w:rsid w:val="0CEF2ECC"/>
    <w:rsid w:val="0D066227"/>
    <w:rsid w:val="0D1140B4"/>
    <w:rsid w:val="0D3138D8"/>
    <w:rsid w:val="0D754630"/>
    <w:rsid w:val="0D7751EE"/>
    <w:rsid w:val="0D7E282D"/>
    <w:rsid w:val="0D934B97"/>
    <w:rsid w:val="0D9B1CB7"/>
    <w:rsid w:val="0DAE32CB"/>
    <w:rsid w:val="0DB36301"/>
    <w:rsid w:val="0DBA227B"/>
    <w:rsid w:val="0DBC764E"/>
    <w:rsid w:val="0DD14E18"/>
    <w:rsid w:val="0DE0772C"/>
    <w:rsid w:val="0DE82DC3"/>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5220A"/>
    <w:rsid w:val="11A2058C"/>
    <w:rsid w:val="11A8729D"/>
    <w:rsid w:val="11BF2ACF"/>
    <w:rsid w:val="11CE1153"/>
    <w:rsid w:val="11F92E42"/>
    <w:rsid w:val="11FC4CDD"/>
    <w:rsid w:val="12293DFC"/>
    <w:rsid w:val="122D78BF"/>
    <w:rsid w:val="12440BFE"/>
    <w:rsid w:val="127B6144"/>
    <w:rsid w:val="12967561"/>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C52FE8"/>
    <w:rsid w:val="14FB3567"/>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F3A4D"/>
    <w:rsid w:val="16991184"/>
    <w:rsid w:val="16B24DF8"/>
    <w:rsid w:val="16B65C38"/>
    <w:rsid w:val="16C4294F"/>
    <w:rsid w:val="16C500A1"/>
    <w:rsid w:val="16C92238"/>
    <w:rsid w:val="16EC1997"/>
    <w:rsid w:val="17064D2A"/>
    <w:rsid w:val="1719080C"/>
    <w:rsid w:val="171A2DF9"/>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C053710"/>
    <w:rsid w:val="1C056F44"/>
    <w:rsid w:val="1C175FDA"/>
    <w:rsid w:val="1C411891"/>
    <w:rsid w:val="1C660BA9"/>
    <w:rsid w:val="1C7D5CE2"/>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46577D"/>
    <w:rsid w:val="20650CF8"/>
    <w:rsid w:val="207D3209"/>
    <w:rsid w:val="208F7A78"/>
    <w:rsid w:val="209B0B49"/>
    <w:rsid w:val="209D560A"/>
    <w:rsid w:val="20EC0336"/>
    <w:rsid w:val="20F61EC8"/>
    <w:rsid w:val="20FD356C"/>
    <w:rsid w:val="21244856"/>
    <w:rsid w:val="212E45C2"/>
    <w:rsid w:val="214000B7"/>
    <w:rsid w:val="215435F0"/>
    <w:rsid w:val="2157726C"/>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A532B"/>
    <w:rsid w:val="22785BAA"/>
    <w:rsid w:val="22C01F8B"/>
    <w:rsid w:val="22CC5B62"/>
    <w:rsid w:val="22D536E1"/>
    <w:rsid w:val="22D84A84"/>
    <w:rsid w:val="22DD322B"/>
    <w:rsid w:val="22E912CC"/>
    <w:rsid w:val="235A2380"/>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1204F"/>
    <w:rsid w:val="24D41A42"/>
    <w:rsid w:val="24E2247B"/>
    <w:rsid w:val="25075546"/>
    <w:rsid w:val="250D4EA6"/>
    <w:rsid w:val="25354F6D"/>
    <w:rsid w:val="25497F18"/>
    <w:rsid w:val="256B6E90"/>
    <w:rsid w:val="257E68E0"/>
    <w:rsid w:val="25844E6F"/>
    <w:rsid w:val="258D7BE3"/>
    <w:rsid w:val="25BA2765"/>
    <w:rsid w:val="25CC7715"/>
    <w:rsid w:val="25F12B69"/>
    <w:rsid w:val="25F214F1"/>
    <w:rsid w:val="25FB11C6"/>
    <w:rsid w:val="2641744B"/>
    <w:rsid w:val="26462BCA"/>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26212D"/>
    <w:rsid w:val="285903E8"/>
    <w:rsid w:val="287C54C2"/>
    <w:rsid w:val="2898788C"/>
    <w:rsid w:val="28B1550E"/>
    <w:rsid w:val="28E01F57"/>
    <w:rsid w:val="28FB0E37"/>
    <w:rsid w:val="290C6AEF"/>
    <w:rsid w:val="292312F9"/>
    <w:rsid w:val="29661374"/>
    <w:rsid w:val="297D1D4D"/>
    <w:rsid w:val="299666BB"/>
    <w:rsid w:val="29B9007B"/>
    <w:rsid w:val="29CD5011"/>
    <w:rsid w:val="29DE2166"/>
    <w:rsid w:val="29E167F8"/>
    <w:rsid w:val="2A0C228A"/>
    <w:rsid w:val="2A2007F8"/>
    <w:rsid w:val="2A2E0884"/>
    <w:rsid w:val="2A5666D5"/>
    <w:rsid w:val="2A67512B"/>
    <w:rsid w:val="2AA93B82"/>
    <w:rsid w:val="2ADB16CD"/>
    <w:rsid w:val="2AE70ED3"/>
    <w:rsid w:val="2B0772EB"/>
    <w:rsid w:val="2B193E98"/>
    <w:rsid w:val="2B3A79F8"/>
    <w:rsid w:val="2B5973C3"/>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F010A"/>
    <w:rsid w:val="2C457FF2"/>
    <w:rsid w:val="2C576262"/>
    <w:rsid w:val="2C62242D"/>
    <w:rsid w:val="2C657933"/>
    <w:rsid w:val="2C936D31"/>
    <w:rsid w:val="2C9C70D5"/>
    <w:rsid w:val="2C9E1BF6"/>
    <w:rsid w:val="2CC20397"/>
    <w:rsid w:val="2CC52FCC"/>
    <w:rsid w:val="2CE40292"/>
    <w:rsid w:val="2D1D0776"/>
    <w:rsid w:val="2D2746F1"/>
    <w:rsid w:val="2D3D4B33"/>
    <w:rsid w:val="2D5C631D"/>
    <w:rsid w:val="2D612608"/>
    <w:rsid w:val="2D7C3B24"/>
    <w:rsid w:val="2DA666D5"/>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B033E"/>
    <w:rsid w:val="2F3B575C"/>
    <w:rsid w:val="2FCC738C"/>
    <w:rsid w:val="2FCF3003"/>
    <w:rsid w:val="3002081B"/>
    <w:rsid w:val="30157717"/>
    <w:rsid w:val="304040C2"/>
    <w:rsid w:val="306D4B29"/>
    <w:rsid w:val="30835CFF"/>
    <w:rsid w:val="30AD4C36"/>
    <w:rsid w:val="30DE674E"/>
    <w:rsid w:val="30EC062D"/>
    <w:rsid w:val="310150BD"/>
    <w:rsid w:val="31101CE9"/>
    <w:rsid w:val="31243B28"/>
    <w:rsid w:val="313E1435"/>
    <w:rsid w:val="314745A8"/>
    <w:rsid w:val="317017A6"/>
    <w:rsid w:val="319860F0"/>
    <w:rsid w:val="31AE31E4"/>
    <w:rsid w:val="32161236"/>
    <w:rsid w:val="32227F91"/>
    <w:rsid w:val="322A6308"/>
    <w:rsid w:val="322C0908"/>
    <w:rsid w:val="323127E2"/>
    <w:rsid w:val="32510485"/>
    <w:rsid w:val="32622EB1"/>
    <w:rsid w:val="326A1A47"/>
    <w:rsid w:val="326A3F52"/>
    <w:rsid w:val="327171E5"/>
    <w:rsid w:val="32727AE9"/>
    <w:rsid w:val="32954175"/>
    <w:rsid w:val="32C72DFD"/>
    <w:rsid w:val="32D35A35"/>
    <w:rsid w:val="32E150CB"/>
    <w:rsid w:val="32E557FC"/>
    <w:rsid w:val="32E55CFE"/>
    <w:rsid w:val="33034849"/>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105ABC"/>
    <w:rsid w:val="34152BCF"/>
    <w:rsid w:val="34333596"/>
    <w:rsid w:val="343E01A7"/>
    <w:rsid w:val="344624FC"/>
    <w:rsid w:val="34516DFD"/>
    <w:rsid w:val="34605E78"/>
    <w:rsid w:val="34764563"/>
    <w:rsid w:val="34804192"/>
    <w:rsid w:val="348F6A65"/>
    <w:rsid w:val="34926719"/>
    <w:rsid w:val="349557F9"/>
    <w:rsid w:val="34CC331D"/>
    <w:rsid w:val="34E32122"/>
    <w:rsid w:val="34E5114A"/>
    <w:rsid w:val="34EB6E60"/>
    <w:rsid w:val="34F05226"/>
    <w:rsid w:val="3521148C"/>
    <w:rsid w:val="35451CB0"/>
    <w:rsid w:val="354A6FB1"/>
    <w:rsid w:val="35836859"/>
    <w:rsid w:val="35877C28"/>
    <w:rsid w:val="35993548"/>
    <w:rsid w:val="35B306D8"/>
    <w:rsid w:val="35B96981"/>
    <w:rsid w:val="35DC12DC"/>
    <w:rsid w:val="35F4573F"/>
    <w:rsid w:val="35FF180E"/>
    <w:rsid w:val="36064C18"/>
    <w:rsid w:val="360B517B"/>
    <w:rsid w:val="36171F51"/>
    <w:rsid w:val="362A3232"/>
    <w:rsid w:val="362B7ED2"/>
    <w:rsid w:val="363716B2"/>
    <w:rsid w:val="364254D8"/>
    <w:rsid w:val="364E6A6B"/>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B5581"/>
    <w:rsid w:val="3BA44A09"/>
    <w:rsid w:val="3BC07C89"/>
    <w:rsid w:val="3BCB2DA7"/>
    <w:rsid w:val="3BD0524C"/>
    <w:rsid w:val="3BD42762"/>
    <w:rsid w:val="3BEC727A"/>
    <w:rsid w:val="3C26025B"/>
    <w:rsid w:val="3C637568"/>
    <w:rsid w:val="3C6D72FC"/>
    <w:rsid w:val="3C804BDD"/>
    <w:rsid w:val="3C943129"/>
    <w:rsid w:val="3C95488E"/>
    <w:rsid w:val="3C9C4C22"/>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F58F2"/>
    <w:rsid w:val="3E6A2C25"/>
    <w:rsid w:val="3E930F26"/>
    <w:rsid w:val="3EA53897"/>
    <w:rsid w:val="3EA70737"/>
    <w:rsid w:val="3EC911B5"/>
    <w:rsid w:val="3ED937DE"/>
    <w:rsid w:val="3EF05A1D"/>
    <w:rsid w:val="3F094698"/>
    <w:rsid w:val="3F211859"/>
    <w:rsid w:val="3F295432"/>
    <w:rsid w:val="3F35218B"/>
    <w:rsid w:val="3F3C6042"/>
    <w:rsid w:val="3FB629B7"/>
    <w:rsid w:val="3FB631DF"/>
    <w:rsid w:val="3FC65DE9"/>
    <w:rsid w:val="3FD71618"/>
    <w:rsid w:val="3FF67CAF"/>
    <w:rsid w:val="400F77B6"/>
    <w:rsid w:val="40107831"/>
    <w:rsid w:val="402E703E"/>
    <w:rsid w:val="40306054"/>
    <w:rsid w:val="404E2F04"/>
    <w:rsid w:val="40502725"/>
    <w:rsid w:val="405D3C96"/>
    <w:rsid w:val="4065463B"/>
    <w:rsid w:val="40661F26"/>
    <w:rsid w:val="40675E64"/>
    <w:rsid w:val="40800837"/>
    <w:rsid w:val="40914F4E"/>
    <w:rsid w:val="40AE2683"/>
    <w:rsid w:val="40CC64D5"/>
    <w:rsid w:val="40D40532"/>
    <w:rsid w:val="40D900AC"/>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F4EBF"/>
    <w:rsid w:val="426859AB"/>
    <w:rsid w:val="426A6D50"/>
    <w:rsid w:val="42784413"/>
    <w:rsid w:val="42796A2F"/>
    <w:rsid w:val="42B91DF9"/>
    <w:rsid w:val="42CA263B"/>
    <w:rsid w:val="42DE5F42"/>
    <w:rsid w:val="42F237D3"/>
    <w:rsid w:val="430F57CC"/>
    <w:rsid w:val="432E2B56"/>
    <w:rsid w:val="43677824"/>
    <w:rsid w:val="438B50D8"/>
    <w:rsid w:val="439C339D"/>
    <w:rsid w:val="43B120FA"/>
    <w:rsid w:val="43B15AEA"/>
    <w:rsid w:val="43B66F62"/>
    <w:rsid w:val="43B9089E"/>
    <w:rsid w:val="43C71C80"/>
    <w:rsid w:val="43C81A12"/>
    <w:rsid w:val="43DD13E6"/>
    <w:rsid w:val="43E57702"/>
    <w:rsid w:val="44010F96"/>
    <w:rsid w:val="440A35B6"/>
    <w:rsid w:val="44115060"/>
    <w:rsid w:val="441F6FAA"/>
    <w:rsid w:val="442E7B7A"/>
    <w:rsid w:val="44380A1B"/>
    <w:rsid w:val="445031E8"/>
    <w:rsid w:val="44692F89"/>
    <w:rsid w:val="448C775B"/>
    <w:rsid w:val="44CC112F"/>
    <w:rsid w:val="44CE7218"/>
    <w:rsid w:val="44D15466"/>
    <w:rsid w:val="44D3318E"/>
    <w:rsid w:val="44E90FC8"/>
    <w:rsid w:val="44E93BBD"/>
    <w:rsid w:val="44ED6B40"/>
    <w:rsid w:val="450139EF"/>
    <w:rsid w:val="45050C77"/>
    <w:rsid w:val="45290129"/>
    <w:rsid w:val="45357A76"/>
    <w:rsid w:val="4540352F"/>
    <w:rsid w:val="4553248C"/>
    <w:rsid w:val="457F0B3E"/>
    <w:rsid w:val="458F6A0F"/>
    <w:rsid w:val="459D5842"/>
    <w:rsid w:val="45A569DC"/>
    <w:rsid w:val="45AA0F2D"/>
    <w:rsid w:val="45DB26B9"/>
    <w:rsid w:val="45E67239"/>
    <w:rsid w:val="45F752A9"/>
    <w:rsid w:val="461745C6"/>
    <w:rsid w:val="463248E9"/>
    <w:rsid w:val="463517A1"/>
    <w:rsid w:val="46521AB5"/>
    <w:rsid w:val="46A32DEE"/>
    <w:rsid w:val="46BA1E4C"/>
    <w:rsid w:val="46C8750E"/>
    <w:rsid w:val="46E55123"/>
    <w:rsid w:val="46ED2175"/>
    <w:rsid w:val="473452BB"/>
    <w:rsid w:val="474837B1"/>
    <w:rsid w:val="474F1BBF"/>
    <w:rsid w:val="475744FA"/>
    <w:rsid w:val="47766522"/>
    <w:rsid w:val="478016D9"/>
    <w:rsid w:val="47811F4C"/>
    <w:rsid w:val="47AC6B51"/>
    <w:rsid w:val="47B31158"/>
    <w:rsid w:val="47BF2F63"/>
    <w:rsid w:val="47C72913"/>
    <w:rsid w:val="47D77104"/>
    <w:rsid w:val="47EF7BBB"/>
    <w:rsid w:val="47F17AA9"/>
    <w:rsid w:val="483244DA"/>
    <w:rsid w:val="48450490"/>
    <w:rsid w:val="484504E8"/>
    <w:rsid w:val="48461AEE"/>
    <w:rsid w:val="48733B36"/>
    <w:rsid w:val="48847A8E"/>
    <w:rsid w:val="4893611F"/>
    <w:rsid w:val="489E2DD3"/>
    <w:rsid w:val="48BE24F7"/>
    <w:rsid w:val="48C25AF4"/>
    <w:rsid w:val="48EF654E"/>
    <w:rsid w:val="49101263"/>
    <w:rsid w:val="491F371B"/>
    <w:rsid w:val="492327FA"/>
    <w:rsid w:val="492C72A2"/>
    <w:rsid w:val="492F0E95"/>
    <w:rsid w:val="493A0962"/>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C03434F"/>
    <w:rsid w:val="4C0A696A"/>
    <w:rsid w:val="4C1E5286"/>
    <w:rsid w:val="4C3F6A22"/>
    <w:rsid w:val="4C4F10EC"/>
    <w:rsid w:val="4C786C4B"/>
    <w:rsid w:val="4C792490"/>
    <w:rsid w:val="4CB36112"/>
    <w:rsid w:val="4CC22246"/>
    <w:rsid w:val="4CDB2087"/>
    <w:rsid w:val="4CDF4A3E"/>
    <w:rsid w:val="4CEC65E9"/>
    <w:rsid w:val="4D18122C"/>
    <w:rsid w:val="4D216727"/>
    <w:rsid w:val="4D335A30"/>
    <w:rsid w:val="4D464583"/>
    <w:rsid w:val="4D924884"/>
    <w:rsid w:val="4D9B47F8"/>
    <w:rsid w:val="4DA105AF"/>
    <w:rsid w:val="4DA70495"/>
    <w:rsid w:val="4DAE395A"/>
    <w:rsid w:val="4DB979C4"/>
    <w:rsid w:val="4DEF5AD6"/>
    <w:rsid w:val="4E29469B"/>
    <w:rsid w:val="4E3D7EE2"/>
    <w:rsid w:val="4E4D030F"/>
    <w:rsid w:val="4E5B47B4"/>
    <w:rsid w:val="4E6266CB"/>
    <w:rsid w:val="4E736EFB"/>
    <w:rsid w:val="4ED76FDB"/>
    <w:rsid w:val="4EDF2639"/>
    <w:rsid w:val="4EEA0EF2"/>
    <w:rsid w:val="4EF70976"/>
    <w:rsid w:val="4F3976DD"/>
    <w:rsid w:val="4F457ED8"/>
    <w:rsid w:val="4F4F76E1"/>
    <w:rsid w:val="4F783EC8"/>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E527FD"/>
    <w:rsid w:val="51E57C2F"/>
    <w:rsid w:val="520D1280"/>
    <w:rsid w:val="521612BE"/>
    <w:rsid w:val="52A23FDC"/>
    <w:rsid w:val="52AD3687"/>
    <w:rsid w:val="52E01FBB"/>
    <w:rsid w:val="53087910"/>
    <w:rsid w:val="530C63EA"/>
    <w:rsid w:val="531C5FEF"/>
    <w:rsid w:val="534C19CC"/>
    <w:rsid w:val="5359754B"/>
    <w:rsid w:val="535F4A5E"/>
    <w:rsid w:val="538D6657"/>
    <w:rsid w:val="53C62117"/>
    <w:rsid w:val="53E73A18"/>
    <w:rsid w:val="5408650B"/>
    <w:rsid w:val="540A0B38"/>
    <w:rsid w:val="540C5DBA"/>
    <w:rsid w:val="54152007"/>
    <w:rsid w:val="54176ED1"/>
    <w:rsid w:val="543A4753"/>
    <w:rsid w:val="5471399E"/>
    <w:rsid w:val="548A0C1C"/>
    <w:rsid w:val="549E2286"/>
    <w:rsid w:val="54BD1D34"/>
    <w:rsid w:val="54BE2DEE"/>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32591F"/>
    <w:rsid w:val="58445E03"/>
    <w:rsid w:val="588F58B4"/>
    <w:rsid w:val="589864CC"/>
    <w:rsid w:val="58B64CCD"/>
    <w:rsid w:val="58BA6EFE"/>
    <w:rsid w:val="58D4289F"/>
    <w:rsid w:val="58E90922"/>
    <w:rsid w:val="5909271C"/>
    <w:rsid w:val="59360C95"/>
    <w:rsid w:val="59431C44"/>
    <w:rsid w:val="59555A5D"/>
    <w:rsid w:val="59804128"/>
    <w:rsid w:val="599339EA"/>
    <w:rsid w:val="599E7E9D"/>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25CE4"/>
    <w:rsid w:val="5BB840E7"/>
    <w:rsid w:val="5BDD551D"/>
    <w:rsid w:val="5C414E19"/>
    <w:rsid w:val="5C52200D"/>
    <w:rsid w:val="5C6E0E41"/>
    <w:rsid w:val="5C6E2F32"/>
    <w:rsid w:val="5C783ECB"/>
    <w:rsid w:val="5C7C328A"/>
    <w:rsid w:val="5C972E06"/>
    <w:rsid w:val="5D0356E3"/>
    <w:rsid w:val="5D1302A5"/>
    <w:rsid w:val="5D2074C7"/>
    <w:rsid w:val="5D2E16F3"/>
    <w:rsid w:val="5D3D5426"/>
    <w:rsid w:val="5D517FEA"/>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E45750"/>
    <w:rsid w:val="5FE559FA"/>
    <w:rsid w:val="5FFC290B"/>
    <w:rsid w:val="5FFE25F9"/>
    <w:rsid w:val="60456DBD"/>
    <w:rsid w:val="60667D20"/>
    <w:rsid w:val="607B163E"/>
    <w:rsid w:val="607D034B"/>
    <w:rsid w:val="6080095A"/>
    <w:rsid w:val="60850083"/>
    <w:rsid w:val="60C10495"/>
    <w:rsid w:val="60D11737"/>
    <w:rsid w:val="610E56F0"/>
    <w:rsid w:val="611A3B5C"/>
    <w:rsid w:val="61271EB8"/>
    <w:rsid w:val="614D1464"/>
    <w:rsid w:val="61765966"/>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5299D"/>
    <w:rsid w:val="62AE740D"/>
    <w:rsid w:val="62B64FB9"/>
    <w:rsid w:val="62C041D6"/>
    <w:rsid w:val="62C16294"/>
    <w:rsid w:val="62C73C18"/>
    <w:rsid w:val="62D5486F"/>
    <w:rsid w:val="62D709A4"/>
    <w:rsid w:val="6307271C"/>
    <w:rsid w:val="630A6BAB"/>
    <w:rsid w:val="63137626"/>
    <w:rsid w:val="6316030C"/>
    <w:rsid w:val="63240639"/>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EE6C51"/>
    <w:rsid w:val="650D5978"/>
    <w:rsid w:val="651C72A5"/>
    <w:rsid w:val="651F527A"/>
    <w:rsid w:val="653B3D53"/>
    <w:rsid w:val="654F1768"/>
    <w:rsid w:val="657A34F3"/>
    <w:rsid w:val="658969E8"/>
    <w:rsid w:val="658C4ED4"/>
    <w:rsid w:val="65921FB4"/>
    <w:rsid w:val="659304C3"/>
    <w:rsid w:val="65AF7843"/>
    <w:rsid w:val="65B9675F"/>
    <w:rsid w:val="65BA103E"/>
    <w:rsid w:val="65CB613B"/>
    <w:rsid w:val="65D65135"/>
    <w:rsid w:val="65DD441C"/>
    <w:rsid w:val="65F85C79"/>
    <w:rsid w:val="660759AF"/>
    <w:rsid w:val="660953DD"/>
    <w:rsid w:val="66220D34"/>
    <w:rsid w:val="66253E9C"/>
    <w:rsid w:val="662B1308"/>
    <w:rsid w:val="663B5C4E"/>
    <w:rsid w:val="665A3538"/>
    <w:rsid w:val="666640C6"/>
    <w:rsid w:val="66891B5A"/>
    <w:rsid w:val="66C606FD"/>
    <w:rsid w:val="66CA08AC"/>
    <w:rsid w:val="66E24A82"/>
    <w:rsid w:val="67027BD2"/>
    <w:rsid w:val="670A22C5"/>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E05992"/>
    <w:rsid w:val="68EC0944"/>
    <w:rsid w:val="68F31AA8"/>
    <w:rsid w:val="691802B0"/>
    <w:rsid w:val="69250E8A"/>
    <w:rsid w:val="692D5F61"/>
    <w:rsid w:val="693758B1"/>
    <w:rsid w:val="693E0D36"/>
    <w:rsid w:val="694B108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8050E"/>
    <w:rsid w:val="6A6B6F80"/>
    <w:rsid w:val="6A6B7D15"/>
    <w:rsid w:val="6A805C78"/>
    <w:rsid w:val="6AB136A2"/>
    <w:rsid w:val="6AB2286A"/>
    <w:rsid w:val="6ABC266E"/>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B93280"/>
    <w:rsid w:val="6EFD2445"/>
    <w:rsid w:val="6F107DC2"/>
    <w:rsid w:val="6F2D0616"/>
    <w:rsid w:val="6F373A72"/>
    <w:rsid w:val="6F497B46"/>
    <w:rsid w:val="6F773109"/>
    <w:rsid w:val="6F8F2BAE"/>
    <w:rsid w:val="6FA34F5D"/>
    <w:rsid w:val="6FC919D1"/>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B436F"/>
    <w:rsid w:val="71DB7491"/>
    <w:rsid w:val="72091031"/>
    <w:rsid w:val="722813A5"/>
    <w:rsid w:val="72331903"/>
    <w:rsid w:val="72BD03C3"/>
    <w:rsid w:val="72C56408"/>
    <w:rsid w:val="72D50673"/>
    <w:rsid w:val="72E474A7"/>
    <w:rsid w:val="72E71BED"/>
    <w:rsid w:val="731B77A3"/>
    <w:rsid w:val="732D6789"/>
    <w:rsid w:val="73362A8D"/>
    <w:rsid w:val="73526B4A"/>
    <w:rsid w:val="736C633E"/>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A3E38"/>
    <w:rsid w:val="76065562"/>
    <w:rsid w:val="7628106B"/>
    <w:rsid w:val="764703D2"/>
    <w:rsid w:val="7672253D"/>
    <w:rsid w:val="76806027"/>
    <w:rsid w:val="76852D04"/>
    <w:rsid w:val="769D4AF3"/>
    <w:rsid w:val="76A27741"/>
    <w:rsid w:val="76BE2210"/>
    <w:rsid w:val="76C03D4F"/>
    <w:rsid w:val="76CE535D"/>
    <w:rsid w:val="76DB4E3E"/>
    <w:rsid w:val="76DC4334"/>
    <w:rsid w:val="76DE5543"/>
    <w:rsid w:val="76FA67DE"/>
    <w:rsid w:val="770743FE"/>
    <w:rsid w:val="770948E0"/>
    <w:rsid w:val="77306DC8"/>
    <w:rsid w:val="773A50CD"/>
    <w:rsid w:val="774C6591"/>
    <w:rsid w:val="775F207F"/>
    <w:rsid w:val="7769324C"/>
    <w:rsid w:val="7798034E"/>
    <w:rsid w:val="77A73690"/>
    <w:rsid w:val="77A75BC6"/>
    <w:rsid w:val="77AD52BB"/>
    <w:rsid w:val="77C02696"/>
    <w:rsid w:val="77D56099"/>
    <w:rsid w:val="77DC5538"/>
    <w:rsid w:val="77DF3588"/>
    <w:rsid w:val="77E03297"/>
    <w:rsid w:val="77EE62F3"/>
    <w:rsid w:val="77F23C5E"/>
    <w:rsid w:val="77F5347D"/>
    <w:rsid w:val="780106AF"/>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853606"/>
    <w:rsid w:val="798E1842"/>
    <w:rsid w:val="79961505"/>
    <w:rsid w:val="799C7D75"/>
    <w:rsid w:val="79AF7F9D"/>
    <w:rsid w:val="79B165D1"/>
    <w:rsid w:val="79BE31F0"/>
    <w:rsid w:val="79D96C1A"/>
    <w:rsid w:val="79F542CA"/>
    <w:rsid w:val="7A0D6E3F"/>
    <w:rsid w:val="7A21721D"/>
    <w:rsid w:val="7A2307F0"/>
    <w:rsid w:val="7A290594"/>
    <w:rsid w:val="7A2E5D45"/>
    <w:rsid w:val="7A302DEA"/>
    <w:rsid w:val="7A6901B2"/>
    <w:rsid w:val="7AB37003"/>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D29C5"/>
    <w:rsid w:val="7E74780A"/>
    <w:rsid w:val="7EAD238A"/>
    <w:rsid w:val="7EAF133A"/>
    <w:rsid w:val="7EAF1D94"/>
    <w:rsid w:val="7EB927D5"/>
    <w:rsid w:val="7EBC33F3"/>
    <w:rsid w:val="7ED23C03"/>
    <w:rsid w:val="7EDE2A30"/>
    <w:rsid w:val="7EDE4A90"/>
    <w:rsid w:val="7EDF075E"/>
    <w:rsid w:val="7EE137C2"/>
    <w:rsid w:val="7F1522D4"/>
    <w:rsid w:val="7F31159D"/>
    <w:rsid w:val="7F344095"/>
    <w:rsid w:val="7F5A6DB4"/>
    <w:rsid w:val="7F6F44B7"/>
    <w:rsid w:val="7F7278A7"/>
    <w:rsid w:val="7F727C67"/>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79.png"/><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emf"/><Relationship Id="rId74" Type="http://schemas.openxmlformats.org/officeDocument/2006/relationships/oleObject" Target="embeddings/oleObject4.bin"/><Relationship Id="rId73" Type="http://schemas.openxmlformats.org/officeDocument/2006/relationships/image" Target="media/image67.wmf"/><Relationship Id="rId72" Type="http://schemas.openxmlformats.org/officeDocument/2006/relationships/image" Target="media/image66.wmf"/><Relationship Id="rId71" Type="http://schemas.openxmlformats.org/officeDocument/2006/relationships/image" Target="media/image65.wmf"/><Relationship Id="rId70" Type="http://schemas.openxmlformats.org/officeDocument/2006/relationships/image" Target="media/image64.wmf"/><Relationship Id="rId7" Type="http://schemas.openxmlformats.org/officeDocument/2006/relationships/image" Target="media/image4.wmf"/><Relationship Id="rId69" Type="http://schemas.openxmlformats.org/officeDocument/2006/relationships/image" Target="media/image63.wmf"/><Relationship Id="rId68" Type="http://schemas.openxmlformats.org/officeDocument/2006/relationships/image" Target="media/image62.wmf"/><Relationship Id="rId67" Type="http://schemas.openxmlformats.org/officeDocument/2006/relationships/image" Target="media/image61.wmf"/><Relationship Id="rId66" Type="http://schemas.openxmlformats.org/officeDocument/2006/relationships/image" Target="media/image60.wmf"/><Relationship Id="rId65" Type="http://schemas.openxmlformats.org/officeDocument/2006/relationships/image" Target="media/image59.wmf"/><Relationship Id="rId64" Type="http://schemas.openxmlformats.org/officeDocument/2006/relationships/image" Target="media/image58.wmf"/><Relationship Id="rId63" Type="http://schemas.openxmlformats.org/officeDocument/2006/relationships/image" Target="media/image57.wmf"/><Relationship Id="rId62" Type="http://schemas.openxmlformats.org/officeDocument/2006/relationships/image" Target="media/image56.wmf"/><Relationship Id="rId61" Type="http://schemas.openxmlformats.org/officeDocument/2006/relationships/image" Target="media/image55.wmf"/><Relationship Id="rId60" Type="http://schemas.openxmlformats.org/officeDocument/2006/relationships/image" Target="media/image54.wmf"/><Relationship Id="rId6" Type="http://schemas.openxmlformats.org/officeDocument/2006/relationships/image" Target="media/image3.wmf"/><Relationship Id="rId59" Type="http://schemas.openxmlformats.org/officeDocument/2006/relationships/image" Target="media/image53.wmf"/><Relationship Id="rId58" Type="http://schemas.openxmlformats.org/officeDocument/2006/relationships/image" Target="media/image52.wmf"/><Relationship Id="rId57" Type="http://schemas.openxmlformats.org/officeDocument/2006/relationships/image" Target="media/image51.wmf"/><Relationship Id="rId56" Type="http://schemas.openxmlformats.org/officeDocument/2006/relationships/image" Target="media/image50.wmf"/><Relationship Id="rId55" Type="http://schemas.openxmlformats.org/officeDocument/2006/relationships/image" Target="media/image49.wmf"/><Relationship Id="rId54" Type="http://schemas.openxmlformats.org/officeDocument/2006/relationships/image" Target="media/image48.wmf"/><Relationship Id="rId53" Type="http://schemas.openxmlformats.org/officeDocument/2006/relationships/image" Target="media/image47.wmf"/><Relationship Id="rId52" Type="http://schemas.openxmlformats.org/officeDocument/2006/relationships/image" Target="media/image46.wmf"/><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2021-01-21T02:42:52Z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