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Fonts w:ascii="Mulish" w:cs="Mulish" w:eastAsia="Mulish" w:hAnsi="Mulish"/>
          <w:sz w:val="30"/>
          <w:szCs w:val="30"/>
          <w:rtl w:val="0"/>
        </w:rPr>
        <w:t xml:space="preserve">Тестування працездатності процедури set_currency</w:t>
      </w:r>
    </w:p>
    <w:p w:rsidR="00000000" w:rsidDel="00000000" w:rsidP="00000000" w:rsidRDefault="00000000" w:rsidRPr="00000000" w14:paraId="00000002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2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15"/>
        <w:gridCol w:w="2415"/>
        <w:gridCol w:w="6240"/>
        <w:gridCol w:w="1995"/>
        <w:tblGridChange w:id="0">
          <w:tblGrid>
            <w:gridCol w:w="960"/>
            <w:gridCol w:w="4815"/>
            <w:gridCol w:w="2415"/>
            <w:gridCol w:w="6240"/>
            <w:gridCol w:w="1995"/>
          </w:tblGrid>
        </w:tblGridChange>
      </w:tblGrid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Опис тестування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rFonts w:ascii="Mulish" w:cs="Mulish" w:eastAsia="Mulish" w:hAnsi="Mulish"/>
                  <w:color w:val="000000"/>
                  <w:sz w:val="30"/>
                  <w:szCs w:val="30"/>
                  <w:highlight w:val="white"/>
                  <w:u w:val="none"/>
                  <w:rtl w:val="0"/>
                </w:rPr>
                <w:t xml:space="preserve">Відповідальний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32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Протестовано працездатністьпроцедури set_currency, за допомогою функціоналу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set_currency;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select * from srv.currency_history;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select * from srv.currency;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(запит станом на 17:00 19.09.2023р.)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Кальченко Р. А.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829050" cy="2667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Запит успішно виконано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