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ulish" w:cs="Mulish" w:eastAsia="Mulish" w:hAnsi="Mulish"/>
          <w:sz w:val="30"/>
          <w:szCs w:val="30"/>
        </w:rPr>
      </w:pPr>
      <w:r w:rsidDel="00000000" w:rsidR="00000000" w:rsidRPr="00000000">
        <w:rPr>
          <w:rFonts w:ascii="Mulish" w:cs="Mulish" w:eastAsia="Mulish" w:hAnsi="Mulish"/>
          <w:sz w:val="30"/>
          <w:szCs w:val="30"/>
          <w:rtl w:val="0"/>
        </w:rPr>
        <w:t xml:space="preserve">Тестування працездатності процедури set_currency</w:t>
      </w:r>
    </w:p>
    <w:p w:rsidR="00000000" w:rsidDel="00000000" w:rsidP="00000000" w:rsidRDefault="00000000" w:rsidRPr="00000000" w14:paraId="00000002">
      <w:pPr>
        <w:jc w:val="center"/>
        <w:rPr>
          <w:rFonts w:ascii="Mulish" w:cs="Mulish" w:eastAsia="Mulish" w:hAnsi="Mulish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25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4815"/>
        <w:gridCol w:w="2415"/>
        <w:gridCol w:w="6240"/>
        <w:gridCol w:w="1995"/>
        <w:tblGridChange w:id="0">
          <w:tblGrid>
            <w:gridCol w:w="960"/>
            <w:gridCol w:w="4815"/>
            <w:gridCol w:w="2415"/>
            <w:gridCol w:w="6240"/>
            <w:gridCol w:w="1995"/>
          </w:tblGrid>
        </w:tblGridChange>
      </w:tblGrid>
      <w:tr>
        <w:trPr>
          <w:cantSplit w:val="0"/>
          <w:trHeight w:val="133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Опис тестування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hyperlink r:id="rId6">
              <w:r w:rsidDel="00000000" w:rsidR="00000000" w:rsidRPr="00000000">
                <w:rPr>
                  <w:rFonts w:ascii="Mulish" w:cs="Mulish" w:eastAsia="Mulish" w:hAnsi="Mulish"/>
                  <w:color w:val="000000"/>
                  <w:sz w:val="30"/>
                  <w:szCs w:val="30"/>
                  <w:highlight w:val="white"/>
                  <w:u w:val="none"/>
                  <w:rtl w:val="0"/>
                </w:rPr>
                <w:t xml:space="preserve">Відповідальний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Результат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Примітка</w:t>
            </w:r>
          </w:p>
        </w:tc>
      </w:tr>
      <w:tr>
        <w:trPr>
          <w:cantSplit w:val="0"/>
          <w:trHeight w:val="448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Протестовано працездатність процедури set_currency, за допомогою функціоналу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Inconsolata" w:cs="Inconsolata" w:eastAsia="Inconsolata" w:hAnsi="Inconsolata"/>
                <w:sz w:val="30"/>
                <w:szCs w:val="30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30"/>
                <w:szCs w:val="30"/>
                <w:rtl w:val="0"/>
              </w:rPr>
              <w:t xml:space="preserve">set_currency;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Inconsolata" w:cs="Inconsolata" w:eastAsia="Inconsolata" w:hAnsi="Inconsolata"/>
                <w:sz w:val="30"/>
                <w:szCs w:val="30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30"/>
                <w:szCs w:val="3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Inconsolata" w:cs="Inconsolata" w:eastAsia="Inconsolata" w:hAnsi="Inconsolata"/>
                <w:sz w:val="30"/>
                <w:szCs w:val="30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30"/>
                <w:szCs w:val="3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Inconsolata" w:cs="Inconsolata" w:eastAsia="Inconsolata" w:hAnsi="Inconsolata"/>
                <w:sz w:val="30"/>
                <w:szCs w:val="30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30"/>
                <w:szCs w:val="30"/>
                <w:rtl w:val="0"/>
              </w:rPr>
              <w:t xml:space="preserve">select * from srv.currency_history;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(запит станом на 10:00 16.09.2023р.)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Кальченко Р. А.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</w:rPr>
              <w:drawing>
                <wp:inline distB="114300" distT="114300" distL="114300" distR="114300">
                  <wp:extent cx="3829050" cy="4572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457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</w:rPr>
              <w:drawing>
                <wp:inline distB="114300" distT="114300" distL="114300" distR="114300">
                  <wp:extent cx="3543300" cy="14287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Запит успішно виконано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rFonts w:ascii="Mulish" w:cs="Mulish" w:eastAsia="Mulish" w:hAnsi="Mulish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