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A. 데이터 출처 및 변수 정의</w:t>
      </w:r>
    </w:p>
    <w:p>
      <w:pPr>
        <w:pStyle w:val="Heading2"/>
      </w:pPr>
      <w:r>
        <w:t>데이터 출처</w:t>
      </w:r>
    </w:p>
    <w:p>
      <w:r>
        <w:rPr>
          <w:i/>
          <w:color w:val="999999"/>
          <w:sz w:val="18"/>
        </w:rPr>
        <w:t>서울서베이, 디지털역량조사, 5G 품질평가, 공공WiFi 등록부, 자치구 소득 데이터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데이터 출처 요약 ]</w:t>
      </w:r>
    </w:p>
    <w:p/>
    <w:p>
      <w:pPr>
        <w:pStyle w:val="Heading2"/>
      </w:pPr>
      <w:r>
        <w:t>UMC 차원별 지표 구성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UMC 6개 차원 × 16개 지표 ]</w:t>
      </w:r>
    </w:p>
    <w:p/>
    <w:p>
      <w:pPr>
        <w:pStyle w:val="Heading2"/>
      </w:pPr>
      <w:r>
        <w:t>변수 정의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L1 변수 (개인 수준) ]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L2 변수 (자치구 수준) 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