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C. 전체 결과 및 강건성 분석</w:t>
      </w:r>
    </w:p>
    <w:p>
      <w:pPr>
        <w:pStyle w:val="Heading2"/>
      </w:pPr>
      <w:r>
        <w:t>기술통계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기술통계 — L1 (개인 수준) ]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기술통계 — L2 (자치구 수준) ]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취약집단 비교 ]</w:t>
      </w:r>
    </w:p>
    <w:p/>
    <w:p>
      <w:pPr>
        <w:pStyle w:val="Heading2"/>
      </w:pPr>
      <w:r>
        <w:t>HLM 전체 계수 테이블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HLM 전체 계수 (M0–M3) ]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모델 적합도 비교 ]</w:t>
      </w:r>
    </w:p>
    <w:p/>
    <w:p>
      <w:pPr>
        <w:pStyle w:val="Heading2"/>
      </w:pPr>
      <w:r>
        <w:t>민감도 분석</w:t>
      </w:r>
    </w:p>
    <w:p>
      <w:r>
        <w:rPr>
          <w:i/>
          <w:color w:val="999999"/>
          <w:sz w:val="18"/>
        </w:rPr>
        <w:t>• UMC 가중치 강건성 (ρ &gt; 0.97)</w:t>
      </w:r>
    </w:p>
    <w:p>
      <w:r>
        <w:rPr>
          <w:i/>
          <w:color w:val="999999"/>
          <w:sz w:val="18"/>
        </w:rPr>
        <w:t>• 연도별 분리 분석 (2023 vs 2024)</w:t>
      </w:r>
    </w:p>
    <w:p>
      <w:r>
        <w:rPr>
          <w:i/>
          <w:color w:val="999999"/>
          <w:sz w:val="18"/>
        </w:rPr>
        <w:t>• 부분표본 분석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표: 민감도 분석 요약 ]</w:t>
      </w:r>
    </w:p>
    <w:p/>
    <w:p>
      <w:pPr>
        <w:pStyle w:val="Heading2"/>
      </w:pPr>
      <w:r>
        <w:t>모델 진단</w:t>
      </w:r>
    </w:p>
    <w:p>
      <w:pPr>
        <w:spacing w:before="160" w:after="160"/>
        <w:jc w:val="center"/>
      </w:pPr>
      <w:r>
        <w:rPr>
          <w:b/>
          <w:color w:val="0070C0"/>
          <w:sz w:val="20"/>
        </w:rPr>
        <w:t>[ 그림: HLM 잔차 진단 — P3_hlm_diagnostics ]</w:t>
      </w:r>
    </w:p>
    <w:p>
      <w:r>
        <w:rPr>
          <w:i/>
          <w:color w:val="999999"/>
          <w:sz w:val="18"/>
        </w:rPr>
        <w:t>Moran's I 공간자기상관 검정 결과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